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9484A" w14:textId="77777777" w:rsidR="00B26D61" w:rsidRDefault="00B26D61" w:rsidP="00B26D61">
      <w:pPr>
        <w:spacing w:after="60" w:line="360" w:lineRule="auto"/>
        <w:jc w:val="both"/>
        <w:rPr>
          <w:rFonts w:asciiTheme="majorHAnsi" w:hAnsiTheme="majorHAnsi"/>
        </w:rPr>
      </w:pPr>
      <w:r>
        <w:rPr>
          <w:rFonts w:asciiTheme="majorHAnsi" w:hAnsiTheme="majorHAnsi"/>
          <w:noProof/>
          <w:lang w:val="es-ES"/>
        </w:rPr>
        <w:drawing>
          <wp:anchor distT="0" distB="0" distL="114300" distR="114300" simplePos="0" relativeHeight="251658240" behindDoc="0" locked="0" layoutInCell="1" allowOverlap="1" wp14:anchorId="17075568" wp14:editId="0F643EF1">
            <wp:simplePos x="0" y="0"/>
            <wp:positionH relativeFrom="column">
              <wp:posOffset>1714500</wp:posOffset>
            </wp:positionH>
            <wp:positionV relativeFrom="paragraph">
              <wp:posOffset>228600</wp:posOffset>
            </wp:positionV>
            <wp:extent cx="2012950" cy="2665730"/>
            <wp:effectExtent l="0" t="0" r="0" b="1270"/>
            <wp:wrapSquare wrapText="bothSides"/>
            <wp:docPr id="1" name="Imagen 1" descr="Macintosh HD:Users:macbook:Desktop:UCA-logo_c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book:Desktop:UCA-logo_c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0" cy="2665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E76F641" w14:textId="77777777" w:rsidR="00B26D61" w:rsidRDefault="00B26D61" w:rsidP="00B26D61">
      <w:pPr>
        <w:spacing w:after="60" w:line="360" w:lineRule="auto"/>
        <w:jc w:val="both"/>
        <w:rPr>
          <w:rFonts w:asciiTheme="majorHAnsi" w:hAnsiTheme="majorHAnsi"/>
        </w:rPr>
      </w:pPr>
    </w:p>
    <w:p w14:paraId="74D1FE5E" w14:textId="77777777" w:rsidR="00B26D61" w:rsidRDefault="00B26D61" w:rsidP="00B26D61">
      <w:pPr>
        <w:spacing w:after="60" w:line="360" w:lineRule="auto"/>
        <w:jc w:val="both"/>
        <w:rPr>
          <w:rFonts w:asciiTheme="majorHAnsi" w:hAnsiTheme="majorHAnsi"/>
        </w:rPr>
      </w:pPr>
    </w:p>
    <w:p w14:paraId="3718456C" w14:textId="77777777" w:rsidR="00BD126E" w:rsidRDefault="00BD126E" w:rsidP="00B26D61">
      <w:pPr>
        <w:spacing w:after="60" w:line="360" w:lineRule="auto"/>
        <w:jc w:val="both"/>
        <w:rPr>
          <w:rFonts w:asciiTheme="majorHAnsi" w:hAnsiTheme="majorHAnsi"/>
        </w:rPr>
      </w:pPr>
    </w:p>
    <w:p w14:paraId="392C2204" w14:textId="77777777" w:rsidR="00B26D61" w:rsidRDefault="00B26D61" w:rsidP="00B26D61">
      <w:pPr>
        <w:spacing w:after="60" w:line="360" w:lineRule="auto"/>
        <w:jc w:val="both"/>
        <w:rPr>
          <w:rFonts w:asciiTheme="majorHAnsi" w:hAnsiTheme="majorHAnsi"/>
        </w:rPr>
      </w:pPr>
    </w:p>
    <w:p w14:paraId="6D21CEDD" w14:textId="77777777" w:rsidR="00B26D61" w:rsidRDefault="00B26D61" w:rsidP="00B26D61">
      <w:pPr>
        <w:spacing w:after="60" w:line="360" w:lineRule="auto"/>
        <w:jc w:val="both"/>
        <w:rPr>
          <w:rFonts w:asciiTheme="majorHAnsi" w:hAnsiTheme="majorHAnsi"/>
        </w:rPr>
      </w:pPr>
    </w:p>
    <w:p w14:paraId="4509E534" w14:textId="77777777" w:rsidR="00B26D61" w:rsidRDefault="00B26D61" w:rsidP="00B26D61">
      <w:pPr>
        <w:spacing w:after="60" w:line="360" w:lineRule="auto"/>
        <w:jc w:val="both"/>
        <w:rPr>
          <w:rFonts w:asciiTheme="majorHAnsi" w:hAnsiTheme="majorHAnsi"/>
        </w:rPr>
      </w:pPr>
    </w:p>
    <w:p w14:paraId="27AACB8B" w14:textId="77777777" w:rsidR="00B26D61" w:rsidRDefault="00B26D61" w:rsidP="00B26D61">
      <w:pPr>
        <w:spacing w:after="60" w:line="360" w:lineRule="auto"/>
        <w:jc w:val="both"/>
        <w:rPr>
          <w:rFonts w:asciiTheme="majorHAnsi" w:hAnsiTheme="majorHAnsi"/>
        </w:rPr>
      </w:pPr>
    </w:p>
    <w:p w14:paraId="5E4F4A31" w14:textId="77777777" w:rsidR="00B26D61" w:rsidRDefault="00B26D61" w:rsidP="00B26D61">
      <w:pPr>
        <w:spacing w:after="60" w:line="360" w:lineRule="auto"/>
        <w:jc w:val="both"/>
        <w:rPr>
          <w:rFonts w:asciiTheme="majorHAnsi" w:hAnsiTheme="majorHAnsi"/>
        </w:rPr>
      </w:pPr>
    </w:p>
    <w:p w14:paraId="22DE2A92" w14:textId="77777777" w:rsidR="00B26D61" w:rsidRDefault="00B26D61" w:rsidP="00B26D61">
      <w:pPr>
        <w:spacing w:after="60" w:line="360" w:lineRule="auto"/>
        <w:jc w:val="both"/>
        <w:rPr>
          <w:rFonts w:asciiTheme="majorHAnsi" w:hAnsiTheme="majorHAnsi"/>
        </w:rPr>
      </w:pPr>
    </w:p>
    <w:p w14:paraId="4013E4AD" w14:textId="77777777" w:rsidR="00B26D61" w:rsidRDefault="00B26D61" w:rsidP="00B26D61">
      <w:pPr>
        <w:spacing w:after="60" w:line="360" w:lineRule="auto"/>
        <w:jc w:val="both"/>
        <w:rPr>
          <w:rFonts w:asciiTheme="majorHAnsi" w:hAnsiTheme="majorHAnsi"/>
        </w:rPr>
      </w:pPr>
    </w:p>
    <w:p w14:paraId="56389F2E" w14:textId="77777777" w:rsidR="00B26D61" w:rsidRDefault="00B26D61" w:rsidP="00B26D61">
      <w:pPr>
        <w:spacing w:after="60" w:line="360" w:lineRule="auto"/>
        <w:jc w:val="both"/>
        <w:rPr>
          <w:rFonts w:asciiTheme="majorHAnsi" w:hAnsiTheme="majorHAnsi"/>
        </w:rPr>
      </w:pPr>
    </w:p>
    <w:p w14:paraId="553F9BD9" w14:textId="77777777" w:rsidR="00B26D61" w:rsidRDefault="00B26D61" w:rsidP="00B26D61">
      <w:pPr>
        <w:spacing w:after="60" w:line="360" w:lineRule="auto"/>
        <w:jc w:val="both"/>
        <w:rPr>
          <w:rFonts w:asciiTheme="majorHAnsi" w:hAnsiTheme="majorHAnsi"/>
        </w:rPr>
      </w:pPr>
    </w:p>
    <w:p w14:paraId="044AC281" w14:textId="77777777" w:rsidR="00B26D61" w:rsidRDefault="00B26D61" w:rsidP="00B26D61">
      <w:pPr>
        <w:spacing w:after="60" w:line="360" w:lineRule="auto"/>
        <w:jc w:val="both"/>
        <w:rPr>
          <w:rFonts w:asciiTheme="majorHAnsi" w:hAnsiTheme="majorHAnsi"/>
        </w:rPr>
      </w:pPr>
    </w:p>
    <w:p w14:paraId="43148D34" w14:textId="7E03C84A" w:rsidR="00B26D61" w:rsidRPr="00B26D61" w:rsidRDefault="00B26D61" w:rsidP="00B26D61">
      <w:pPr>
        <w:spacing w:after="60" w:line="360" w:lineRule="auto"/>
        <w:jc w:val="center"/>
        <w:rPr>
          <w:rFonts w:asciiTheme="majorHAnsi" w:hAnsiTheme="majorHAnsi"/>
          <w:b/>
          <w:sz w:val="32"/>
          <w:szCs w:val="32"/>
        </w:rPr>
      </w:pPr>
      <w:r w:rsidRPr="00B26D61">
        <w:rPr>
          <w:rFonts w:asciiTheme="majorHAnsi" w:hAnsiTheme="majorHAnsi"/>
          <w:b/>
          <w:sz w:val="32"/>
          <w:szCs w:val="32"/>
        </w:rPr>
        <w:t>“</w:t>
      </w:r>
      <w:r w:rsidR="004547FB" w:rsidRPr="004547FB">
        <w:rPr>
          <w:rFonts w:asciiTheme="majorHAnsi" w:hAnsiTheme="majorHAnsi"/>
          <w:b/>
          <w:sz w:val="32"/>
          <w:szCs w:val="32"/>
        </w:rPr>
        <w:t>La implementación de una nueva Política en el Trabajo Marítimo: el Convenio sobre el Trabajo Marítimo (MLC, 2006</w:t>
      </w:r>
      <w:r w:rsidR="00794A30">
        <w:rPr>
          <w:rFonts w:asciiTheme="majorHAnsi" w:hAnsiTheme="majorHAnsi"/>
          <w:b/>
          <w:sz w:val="32"/>
          <w:szCs w:val="32"/>
        </w:rPr>
        <w:t>)</w:t>
      </w:r>
      <w:r w:rsidRPr="00B26D61">
        <w:rPr>
          <w:rFonts w:asciiTheme="majorHAnsi" w:hAnsiTheme="majorHAnsi"/>
          <w:b/>
          <w:sz w:val="32"/>
          <w:szCs w:val="32"/>
        </w:rPr>
        <w:t>”.</w:t>
      </w:r>
    </w:p>
    <w:p w14:paraId="0679E287" w14:textId="77777777" w:rsidR="00B26D61" w:rsidRDefault="00B26D61" w:rsidP="00B26D61">
      <w:pPr>
        <w:spacing w:after="60" w:line="360" w:lineRule="auto"/>
        <w:jc w:val="both"/>
        <w:rPr>
          <w:rFonts w:asciiTheme="majorHAnsi" w:hAnsiTheme="majorHAnsi"/>
        </w:rPr>
      </w:pPr>
    </w:p>
    <w:p w14:paraId="0CF41855" w14:textId="77777777" w:rsidR="00B26D61" w:rsidRPr="00B26D61" w:rsidRDefault="00B26D61" w:rsidP="00B26D61">
      <w:pPr>
        <w:spacing w:after="60" w:line="360" w:lineRule="auto"/>
        <w:jc w:val="center"/>
        <w:rPr>
          <w:rFonts w:asciiTheme="majorHAnsi" w:hAnsiTheme="majorHAnsi"/>
          <w:b/>
          <w:sz w:val="32"/>
          <w:szCs w:val="32"/>
        </w:rPr>
      </w:pPr>
      <w:r w:rsidRPr="00B26D61">
        <w:rPr>
          <w:rFonts w:asciiTheme="majorHAnsi" w:hAnsiTheme="majorHAnsi"/>
          <w:b/>
          <w:sz w:val="32"/>
          <w:szCs w:val="32"/>
        </w:rPr>
        <w:t xml:space="preserve">José Pérez </w:t>
      </w:r>
      <w:proofErr w:type="spellStart"/>
      <w:r w:rsidRPr="00B26D61">
        <w:rPr>
          <w:rFonts w:asciiTheme="majorHAnsi" w:hAnsiTheme="majorHAnsi"/>
          <w:b/>
          <w:sz w:val="32"/>
          <w:szCs w:val="32"/>
        </w:rPr>
        <w:t>Pérez</w:t>
      </w:r>
      <w:proofErr w:type="spellEnd"/>
    </w:p>
    <w:p w14:paraId="0B562CB4" w14:textId="77777777" w:rsidR="00B26D61" w:rsidRDefault="00B26D61" w:rsidP="00B26D61">
      <w:pPr>
        <w:spacing w:after="60"/>
        <w:jc w:val="center"/>
        <w:rPr>
          <w:rFonts w:asciiTheme="majorHAnsi" w:hAnsiTheme="majorHAnsi"/>
        </w:rPr>
      </w:pPr>
      <w:r>
        <w:rPr>
          <w:rFonts w:asciiTheme="majorHAnsi" w:hAnsiTheme="majorHAnsi"/>
        </w:rPr>
        <w:t>Trabajo Fin de Grado</w:t>
      </w:r>
    </w:p>
    <w:p w14:paraId="03FDB53C" w14:textId="77777777" w:rsidR="00B26D61" w:rsidRDefault="00B26D61" w:rsidP="00B26D61">
      <w:pPr>
        <w:spacing w:after="60"/>
        <w:jc w:val="center"/>
        <w:rPr>
          <w:rFonts w:asciiTheme="majorHAnsi" w:hAnsiTheme="majorHAnsi"/>
        </w:rPr>
      </w:pPr>
      <w:r>
        <w:rPr>
          <w:rFonts w:asciiTheme="majorHAnsi" w:hAnsiTheme="majorHAnsi"/>
        </w:rPr>
        <w:t>Náutica y Transporte Marítimo</w:t>
      </w:r>
    </w:p>
    <w:p w14:paraId="371E68FB" w14:textId="77777777" w:rsidR="00B26D61" w:rsidRDefault="00B26D61" w:rsidP="00B26D61">
      <w:pPr>
        <w:spacing w:after="60" w:line="360" w:lineRule="auto"/>
        <w:jc w:val="center"/>
        <w:rPr>
          <w:rFonts w:asciiTheme="majorHAnsi" w:hAnsiTheme="majorHAnsi"/>
        </w:rPr>
      </w:pPr>
      <w:r>
        <w:rPr>
          <w:rFonts w:asciiTheme="majorHAnsi" w:hAnsiTheme="majorHAnsi"/>
        </w:rPr>
        <w:t>Tutor: Prof. Dr. Francisco Piniella Corbacho</w:t>
      </w:r>
    </w:p>
    <w:p w14:paraId="24AE4924" w14:textId="77777777" w:rsidR="00B26D61" w:rsidRDefault="00B26D61" w:rsidP="00B26D61">
      <w:pPr>
        <w:spacing w:after="60" w:line="360" w:lineRule="auto"/>
        <w:jc w:val="center"/>
        <w:rPr>
          <w:rFonts w:asciiTheme="majorHAnsi" w:hAnsiTheme="majorHAnsi"/>
        </w:rPr>
      </w:pPr>
    </w:p>
    <w:p w14:paraId="4D38A964" w14:textId="77777777" w:rsidR="00B26D61" w:rsidRDefault="00B26D61" w:rsidP="00B26D61">
      <w:pPr>
        <w:spacing w:after="60" w:line="360" w:lineRule="auto"/>
        <w:jc w:val="center"/>
        <w:rPr>
          <w:rFonts w:asciiTheme="majorHAnsi" w:hAnsiTheme="majorHAnsi"/>
        </w:rPr>
      </w:pPr>
    </w:p>
    <w:p w14:paraId="11C74DD4" w14:textId="77777777" w:rsidR="004547FB" w:rsidRDefault="004547FB" w:rsidP="00B26D61">
      <w:pPr>
        <w:spacing w:after="60" w:line="360" w:lineRule="auto"/>
        <w:jc w:val="center"/>
        <w:rPr>
          <w:rFonts w:asciiTheme="majorHAnsi" w:hAnsiTheme="majorHAnsi"/>
        </w:rPr>
      </w:pPr>
    </w:p>
    <w:p w14:paraId="26017218" w14:textId="77777777" w:rsidR="004547FB" w:rsidRDefault="004547FB" w:rsidP="00B26D61">
      <w:pPr>
        <w:spacing w:after="60" w:line="360" w:lineRule="auto"/>
        <w:jc w:val="center"/>
        <w:rPr>
          <w:rFonts w:asciiTheme="majorHAnsi" w:hAnsiTheme="majorHAnsi"/>
        </w:rPr>
      </w:pPr>
    </w:p>
    <w:p w14:paraId="2082BF6A" w14:textId="77777777" w:rsidR="00B26D61" w:rsidRDefault="00B26D61" w:rsidP="00B26D61">
      <w:pPr>
        <w:spacing w:after="60" w:line="360" w:lineRule="auto"/>
        <w:jc w:val="center"/>
        <w:rPr>
          <w:rFonts w:asciiTheme="majorHAnsi" w:hAnsiTheme="majorHAnsi"/>
        </w:rPr>
      </w:pPr>
      <w:r>
        <w:rPr>
          <w:rFonts w:asciiTheme="majorHAnsi" w:hAnsiTheme="majorHAnsi"/>
        </w:rPr>
        <w:t>Escuela de Ingenierías Marina, Náutica y Radioelectrónica</w:t>
      </w:r>
    </w:p>
    <w:p w14:paraId="52F5FDEE" w14:textId="77777777" w:rsidR="00B26D61" w:rsidRDefault="00B26D61" w:rsidP="00B26D61">
      <w:pPr>
        <w:spacing w:after="60" w:line="360" w:lineRule="auto"/>
        <w:jc w:val="center"/>
        <w:rPr>
          <w:rFonts w:asciiTheme="majorHAnsi" w:hAnsiTheme="majorHAnsi"/>
        </w:rPr>
      </w:pPr>
      <w:r>
        <w:rPr>
          <w:rFonts w:asciiTheme="majorHAnsi" w:hAnsiTheme="majorHAnsi"/>
        </w:rPr>
        <w:t>Junio 2016</w:t>
      </w:r>
    </w:p>
    <w:p w14:paraId="421B64AF" w14:textId="77777777" w:rsidR="00512FD2" w:rsidRDefault="00512FD2" w:rsidP="00B26D61">
      <w:pPr>
        <w:spacing w:after="60" w:line="360" w:lineRule="auto"/>
        <w:jc w:val="center"/>
        <w:rPr>
          <w:rFonts w:asciiTheme="majorHAnsi" w:hAnsiTheme="majorHAnsi"/>
        </w:rPr>
      </w:pPr>
    </w:p>
    <w:p w14:paraId="2FF26385" w14:textId="77777777" w:rsidR="00512FD2" w:rsidRDefault="00512FD2">
      <w:pPr>
        <w:rPr>
          <w:rFonts w:asciiTheme="majorHAnsi" w:hAnsiTheme="majorHAnsi"/>
        </w:rPr>
      </w:pPr>
      <w:r>
        <w:rPr>
          <w:rFonts w:asciiTheme="majorHAnsi" w:hAnsiTheme="majorHAnsi"/>
        </w:rPr>
        <w:lastRenderedPageBreak/>
        <w:br w:type="page"/>
      </w:r>
    </w:p>
    <w:p w14:paraId="00E0A5E9" w14:textId="77777777" w:rsidR="00512FD2" w:rsidRPr="004547FB" w:rsidRDefault="004547FB" w:rsidP="00B26D61">
      <w:pPr>
        <w:spacing w:after="60" w:line="360" w:lineRule="auto"/>
        <w:jc w:val="center"/>
        <w:rPr>
          <w:rFonts w:asciiTheme="majorHAnsi" w:hAnsiTheme="majorHAnsi"/>
          <w:b/>
          <w:sz w:val="28"/>
          <w:szCs w:val="28"/>
        </w:rPr>
      </w:pPr>
      <w:r w:rsidRPr="004547FB">
        <w:rPr>
          <w:rFonts w:asciiTheme="majorHAnsi" w:hAnsiTheme="majorHAnsi"/>
          <w:b/>
          <w:sz w:val="28"/>
          <w:szCs w:val="28"/>
        </w:rPr>
        <w:t>“La implementación de una nueva Política en el Trabajo Marítimo: el Convenio sobre el Trabajo Marítimo (MLC, 2006)”.</w:t>
      </w:r>
    </w:p>
    <w:p w14:paraId="45497EC9" w14:textId="77777777" w:rsidR="00512FD2" w:rsidRPr="004547FB" w:rsidRDefault="00512FD2" w:rsidP="00B26D61">
      <w:pPr>
        <w:spacing w:after="60" w:line="360" w:lineRule="auto"/>
        <w:jc w:val="center"/>
        <w:rPr>
          <w:rFonts w:asciiTheme="majorHAnsi" w:hAnsiTheme="majorHAnsi"/>
          <w:sz w:val="28"/>
          <w:szCs w:val="28"/>
        </w:rPr>
      </w:pPr>
    </w:p>
    <w:p w14:paraId="2F91C621" w14:textId="77777777" w:rsidR="00512FD2" w:rsidRPr="004547FB" w:rsidRDefault="00512FD2" w:rsidP="004547FB">
      <w:pPr>
        <w:pBdr>
          <w:top w:val="single" w:sz="4" w:space="1" w:color="auto"/>
          <w:left w:val="single" w:sz="4" w:space="4" w:color="auto"/>
          <w:bottom w:val="single" w:sz="4" w:space="1" w:color="auto"/>
          <w:right w:val="single" w:sz="4" w:space="4" w:color="auto"/>
        </w:pBdr>
        <w:spacing w:after="60" w:line="360" w:lineRule="auto"/>
        <w:jc w:val="center"/>
        <w:rPr>
          <w:rFonts w:asciiTheme="majorHAnsi" w:hAnsiTheme="majorHAnsi"/>
          <w:sz w:val="28"/>
          <w:szCs w:val="28"/>
        </w:rPr>
      </w:pPr>
      <w:r w:rsidRPr="004547FB">
        <w:rPr>
          <w:rFonts w:asciiTheme="majorHAnsi" w:hAnsiTheme="majorHAnsi"/>
          <w:sz w:val="28"/>
          <w:szCs w:val="28"/>
        </w:rPr>
        <w:t>Resumen</w:t>
      </w:r>
    </w:p>
    <w:p w14:paraId="066AAE84" w14:textId="77777777" w:rsidR="00512FD2" w:rsidRDefault="00512FD2" w:rsidP="004547FB">
      <w:pPr>
        <w:pBdr>
          <w:top w:val="single" w:sz="4" w:space="1" w:color="auto"/>
          <w:left w:val="single" w:sz="4" w:space="4" w:color="auto"/>
          <w:bottom w:val="single" w:sz="4" w:space="1" w:color="auto"/>
          <w:right w:val="single" w:sz="4" w:space="4" w:color="auto"/>
        </w:pBdr>
        <w:spacing w:after="60" w:line="360" w:lineRule="auto"/>
        <w:jc w:val="both"/>
        <w:rPr>
          <w:rFonts w:asciiTheme="majorHAnsi" w:hAnsiTheme="majorHAnsi"/>
        </w:rPr>
      </w:pPr>
      <w:r>
        <w:rPr>
          <w:rFonts w:asciiTheme="majorHAnsi" w:hAnsiTheme="majorHAnsi"/>
        </w:rPr>
        <w:t>Este trabajo aborda la implementación de una nueva Política Marítima basada en el Convenio del Trabajo Marítimo (MLC, 2006), el cual fue adoptado en 2006 y entró en vigor el 20 de Agosto de 2013. Su objetivo es investigar el impacto en el desarrollo de las regulaciones</w:t>
      </w:r>
      <w:r w:rsidR="004547FB">
        <w:rPr>
          <w:rFonts w:asciiTheme="majorHAnsi" w:hAnsiTheme="majorHAnsi"/>
        </w:rPr>
        <w:t xml:space="preserve"> entre los Estados miembros y en el sistema de inspección de los Estados rectores del puerto. También ponemos atención a los contenidos más importantes del Convenio y a sus implementación por los Estados de bandera y de puerto. Como conclusión se aborda la respuesta de los Estados a la aplicación del MLC, 2006.</w:t>
      </w:r>
    </w:p>
    <w:p w14:paraId="45B5BF37" w14:textId="77777777" w:rsidR="004547FB" w:rsidRDefault="004547FB" w:rsidP="004547FB">
      <w:pPr>
        <w:pBdr>
          <w:top w:val="single" w:sz="4" w:space="1" w:color="auto"/>
          <w:left w:val="single" w:sz="4" w:space="4" w:color="auto"/>
          <w:bottom w:val="single" w:sz="4" w:space="1" w:color="auto"/>
          <w:right w:val="single" w:sz="4" w:space="4" w:color="auto"/>
        </w:pBdr>
        <w:spacing w:after="60" w:line="360" w:lineRule="auto"/>
        <w:jc w:val="both"/>
        <w:rPr>
          <w:rFonts w:asciiTheme="majorHAnsi" w:hAnsiTheme="majorHAnsi"/>
        </w:rPr>
      </w:pPr>
      <w:r>
        <w:rPr>
          <w:rFonts w:asciiTheme="majorHAnsi" w:hAnsiTheme="majorHAnsi"/>
        </w:rPr>
        <w:t>Palabras clave: Trabajo Marítimo; MLC, OIT, Condiciones de Trabajo.</w:t>
      </w:r>
    </w:p>
    <w:p w14:paraId="687582D6" w14:textId="77777777" w:rsidR="004547FB" w:rsidRPr="004547FB" w:rsidRDefault="004547FB" w:rsidP="00512FD2">
      <w:pPr>
        <w:spacing w:after="60" w:line="360" w:lineRule="auto"/>
        <w:jc w:val="both"/>
        <w:rPr>
          <w:rFonts w:asciiTheme="majorHAnsi" w:hAnsiTheme="majorHAnsi"/>
          <w:sz w:val="28"/>
          <w:szCs w:val="28"/>
        </w:rPr>
      </w:pPr>
    </w:p>
    <w:p w14:paraId="7F292E1F" w14:textId="77777777" w:rsidR="00512FD2" w:rsidRPr="004547FB" w:rsidRDefault="004547FB" w:rsidP="00B26D61">
      <w:pPr>
        <w:spacing w:after="60" w:line="360" w:lineRule="auto"/>
        <w:jc w:val="center"/>
        <w:rPr>
          <w:rFonts w:asciiTheme="majorHAnsi" w:hAnsiTheme="majorHAnsi"/>
          <w:b/>
          <w:sz w:val="28"/>
          <w:szCs w:val="28"/>
        </w:rPr>
      </w:pPr>
      <w:r w:rsidRPr="004547FB">
        <w:rPr>
          <w:rFonts w:asciiTheme="majorHAnsi" w:hAnsiTheme="majorHAnsi"/>
          <w:b/>
          <w:sz w:val="28"/>
          <w:szCs w:val="28"/>
        </w:rPr>
        <w:t>“</w:t>
      </w:r>
      <w:proofErr w:type="spellStart"/>
      <w:r w:rsidRPr="004547FB">
        <w:rPr>
          <w:rFonts w:asciiTheme="majorHAnsi" w:hAnsiTheme="majorHAnsi"/>
          <w:b/>
          <w:sz w:val="28"/>
          <w:szCs w:val="28"/>
        </w:rPr>
        <w:t>The</w:t>
      </w:r>
      <w:proofErr w:type="spellEnd"/>
      <w:r w:rsidRPr="004547FB">
        <w:rPr>
          <w:rFonts w:asciiTheme="majorHAnsi" w:hAnsiTheme="majorHAnsi"/>
          <w:b/>
          <w:sz w:val="28"/>
          <w:szCs w:val="28"/>
        </w:rPr>
        <w:t xml:space="preserve"> </w:t>
      </w:r>
      <w:proofErr w:type="spellStart"/>
      <w:r w:rsidRPr="004547FB">
        <w:rPr>
          <w:rFonts w:asciiTheme="majorHAnsi" w:hAnsiTheme="majorHAnsi"/>
          <w:b/>
          <w:sz w:val="28"/>
          <w:szCs w:val="28"/>
        </w:rPr>
        <w:t>Implementation</w:t>
      </w:r>
      <w:proofErr w:type="spellEnd"/>
      <w:r w:rsidRPr="004547FB">
        <w:rPr>
          <w:rFonts w:asciiTheme="majorHAnsi" w:hAnsiTheme="majorHAnsi"/>
          <w:b/>
          <w:sz w:val="28"/>
          <w:szCs w:val="28"/>
        </w:rPr>
        <w:t xml:space="preserve"> of a New </w:t>
      </w:r>
      <w:proofErr w:type="spellStart"/>
      <w:r w:rsidRPr="004547FB">
        <w:rPr>
          <w:rFonts w:asciiTheme="majorHAnsi" w:hAnsiTheme="majorHAnsi"/>
          <w:b/>
          <w:sz w:val="28"/>
          <w:szCs w:val="28"/>
        </w:rPr>
        <w:t>Maritime</w:t>
      </w:r>
      <w:proofErr w:type="spellEnd"/>
      <w:r w:rsidRPr="004547FB">
        <w:rPr>
          <w:rFonts w:asciiTheme="majorHAnsi" w:hAnsiTheme="majorHAnsi"/>
          <w:b/>
          <w:sz w:val="28"/>
          <w:szCs w:val="28"/>
        </w:rPr>
        <w:t xml:space="preserve"> </w:t>
      </w:r>
      <w:proofErr w:type="spellStart"/>
      <w:r w:rsidRPr="004547FB">
        <w:rPr>
          <w:rFonts w:asciiTheme="majorHAnsi" w:hAnsiTheme="majorHAnsi"/>
          <w:b/>
          <w:sz w:val="28"/>
          <w:szCs w:val="28"/>
        </w:rPr>
        <w:t>Labour</w:t>
      </w:r>
      <w:proofErr w:type="spellEnd"/>
      <w:r w:rsidRPr="004547FB">
        <w:rPr>
          <w:rFonts w:asciiTheme="majorHAnsi" w:hAnsiTheme="majorHAnsi"/>
          <w:b/>
          <w:sz w:val="28"/>
          <w:szCs w:val="28"/>
        </w:rPr>
        <w:t xml:space="preserve"> </w:t>
      </w:r>
      <w:proofErr w:type="spellStart"/>
      <w:r w:rsidRPr="004547FB">
        <w:rPr>
          <w:rFonts w:asciiTheme="majorHAnsi" w:hAnsiTheme="majorHAnsi"/>
          <w:b/>
          <w:sz w:val="28"/>
          <w:szCs w:val="28"/>
        </w:rPr>
        <w:t>Policy</w:t>
      </w:r>
      <w:proofErr w:type="spellEnd"/>
      <w:r w:rsidRPr="004547FB">
        <w:rPr>
          <w:rFonts w:asciiTheme="majorHAnsi" w:hAnsiTheme="majorHAnsi"/>
          <w:b/>
          <w:sz w:val="28"/>
          <w:szCs w:val="28"/>
        </w:rPr>
        <w:t xml:space="preserve">: </w:t>
      </w:r>
      <w:proofErr w:type="spellStart"/>
      <w:r w:rsidRPr="004547FB">
        <w:rPr>
          <w:rFonts w:asciiTheme="majorHAnsi" w:hAnsiTheme="majorHAnsi"/>
          <w:b/>
          <w:sz w:val="28"/>
          <w:szCs w:val="28"/>
        </w:rPr>
        <w:t>the</w:t>
      </w:r>
      <w:proofErr w:type="spellEnd"/>
      <w:r w:rsidRPr="004547FB">
        <w:rPr>
          <w:rFonts w:asciiTheme="majorHAnsi" w:hAnsiTheme="majorHAnsi"/>
          <w:b/>
          <w:sz w:val="28"/>
          <w:szCs w:val="28"/>
        </w:rPr>
        <w:t xml:space="preserve"> </w:t>
      </w:r>
      <w:proofErr w:type="spellStart"/>
      <w:r w:rsidRPr="004547FB">
        <w:rPr>
          <w:rFonts w:asciiTheme="majorHAnsi" w:hAnsiTheme="majorHAnsi"/>
          <w:b/>
          <w:sz w:val="28"/>
          <w:szCs w:val="28"/>
        </w:rPr>
        <w:t>Maritime</w:t>
      </w:r>
      <w:proofErr w:type="spellEnd"/>
      <w:r w:rsidRPr="004547FB">
        <w:rPr>
          <w:rFonts w:asciiTheme="majorHAnsi" w:hAnsiTheme="majorHAnsi"/>
          <w:b/>
          <w:sz w:val="28"/>
          <w:szCs w:val="28"/>
        </w:rPr>
        <w:t xml:space="preserve"> </w:t>
      </w:r>
      <w:proofErr w:type="spellStart"/>
      <w:r w:rsidRPr="004547FB">
        <w:rPr>
          <w:rFonts w:asciiTheme="majorHAnsi" w:hAnsiTheme="majorHAnsi"/>
          <w:b/>
          <w:sz w:val="28"/>
          <w:szCs w:val="28"/>
        </w:rPr>
        <w:t>Labour</w:t>
      </w:r>
      <w:proofErr w:type="spellEnd"/>
      <w:r w:rsidRPr="004547FB">
        <w:rPr>
          <w:rFonts w:asciiTheme="majorHAnsi" w:hAnsiTheme="majorHAnsi"/>
          <w:b/>
          <w:sz w:val="28"/>
          <w:szCs w:val="28"/>
        </w:rPr>
        <w:t xml:space="preserve"> </w:t>
      </w:r>
      <w:proofErr w:type="spellStart"/>
      <w:r w:rsidRPr="004547FB">
        <w:rPr>
          <w:rFonts w:asciiTheme="majorHAnsi" w:hAnsiTheme="majorHAnsi"/>
          <w:b/>
          <w:sz w:val="28"/>
          <w:szCs w:val="28"/>
        </w:rPr>
        <w:t>Convention</w:t>
      </w:r>
      <w:proofErr w:type="spellEnd"/>
      <w:r w:rsidRPr="004547FB">
        <w:rPr>
          <w:rFonts w:asciiTheme="majorHAnsi" w:hAnsiTheme="majorHAnsi"/>
          <w:b/>
          <w:sz w:val="28"/>
          <w:szCs w:val="28"/>
        </w:rPr>
        <w:t xml:space="preserve"> (MLC, 2006)”.</w:t>
      </w:r>
    </w:p>
    <w:p w14:paraId="69DB480E" w14:textId="77777777" w:rsidR="004547FB" w:rsidRPr="004547FB" w:rsidRDefault="004547FB" w:rsidP="00B26D61">
      <w:pPr>
        <w:spacing w:after="60" w:line="360" w:lineRule="auto"/>
        <w:jc w:val="center"/>
        <w:rPr>
          <w:rFonts w:asciiTheme="majorHAnsi" w:hAnsiTheme="majorHAnsi"/>
          <w:sz w:val="28"/>
          <w:szCs w:val="28"/>
        </w:rPr>
      </w:pPr>
    </w:p>
    <w:p w14:paraId="1C683766" w14:textId="77777777" w:rsidR="00512FD2" w:rsidRPr="004547FB" w:rsidRDefault="00512FD2" w:rsidP="004547FB">
      <w:pPr>
        <w:pBdr>
          <w:top w:val="single" w:sz="4" w:space="1" w:color="auto"/>
          <w:left w:val="single" w:sz="4" w:space="4" w:color="auto"/>
          <w:bottom w:val="single" w:sz="4" w:space="1" w:color="auto"/>
          <w:right w:val="single" w:sz="4" w:space="4" w:color="auto"/>
        </w:pBdr>
        <w:spacing w:after="60" w:line="360" w:lineRule="auto"/>
        <w:jc w:val="center"/>
        <w:rPr>
          <w:rFonts w:asciiTheme="majorHAnsi" w:hAnsiTheme="majorHAnsi"/>
          <w:sz w:val="28"/>
          <w:szCs w:val="28"/>
          <w:lang w:val="en-GB"/>
        </w:rPr>
      </w:pPr>
      <w:r w:rsidRPr="004547FB">
        <w:rPr>
          <w:rFonts w:asciiTheme="majorHAnsi" w:hAnsiTheme="majorHAnsi"/>
          <w:sz w:val="28"/>
          <w:szCs w:val="28"/>
          <w:lang w:val="en-GB"/>
        </w:rPr>
        <w:t>Abstract</w:t>
      </w:r>
    </w:p>
    <w:p w14:paraId="652216A0" w14:textId="77777777" w:rsidR="00512FD2" w:rsidRPr="004547FB" w:rsidRDefault="00512FD2" w:rsidP="004547FB">
      <w:pPr>
        <w:pBdr>
          <w:top w:val="single" w:sz="4" w:space="1" w:color="auto"/>
          <w:left w:val="single" w:sz="4" w:space="4" w:color="auto"/>
          <w:bottom w:val="single" w:sz="4" w:space="1" w:color="auto"/>
          <w:right w:val="single" w:sz="4" w:space="4" w:color="auto"/>
        </w:pBdr>
        <w:spacing w:after="60" w:line="360" w:lineRule="auto"/>
        <w:jc w:val="both"/>
        <w:rPr>
          <w:rFonts w:asciiTheme="majorHAnsi" w:hAnsiTheme="majorHAnsi"/>
          <w:lang w:val="en-GB"/>
        </w:rPr>
      </w:pPr>
      <w:r w:rsidRPr="00512FD2">
        <w:rPr>
          <w:rFonts w:asciiTheme="majorHAnsi" w:hAnsiTheme="majorHAnsi"/>
          <w:lang w:val="en-GB"/>
        </w:rPr>
        <w:t xml:space="preserve">This paper explores the implementation of a new Maritime Labour policy based on the Maritime Labour Convention (MLC, 2006), which was adopted in 2006 and came into force in 20 August 2013. It aims to investigate its impact on the development of regulations among Member States and on vessel inspections under the Port State Control (PSC) system. It also focuses on the most important contents of the Convention and its implementation by Flag and Port States. Last, the </w:t>
      </w:r>
      <w:proofErr w:type="spellStart"/>
      <w:r w:rsidRPr="00512FD2">
        <w:rPr>
          <w:rFonts w:asciiTheme="majorHAnsi" w:hAnsiTheme="majorHAnsi"/>
          <w:lang w:val="en-GB"/>
        </w:rPr>
        <w:t>States’s</w:t>
      </w:r>
      <w:proofErr w:type="spellEnd"/>
      <w:r w:rsidRPr="00512FD2">
        <w:rPr>
          <w:rFonts w:asciiTheme="majorHAnsi" w:hAnsiTheme="majorHAnsi"/>
          <w:lang w:val="en-GB"/>
        </w:rPr>
        <w:t xml:space="preserve"> response </w:t>
      </w:r>
      <w:r w:rsidRPr="004547FB">
        <w:rPr>
          <w:rFonts w:asciiTheme="majorHAnsi" w:hAnsiTheme="majorHAnsi"/>
          <w:lang w:val="en-GB"/>
        </w:rPr>
        <w:t>to the MLC, 2006 is also discussed.</w:t>
      </w:r>
    </w:p>
    <w:p w14:paraId="67CAD868" w14:textId="77777777" w:rsidR="00512FD2" w:rsidRPr="004547FB" w:rsidRDefault="004547FB" w:rsidP="004547FB">
      <w:pPr>
        <w:pBdr>
          <w:top w:val="single" w:sz="4" w:space="1" w:color="auto"/>
          <w:left w:val="single" w:sz="4" w:space="4" w:color="auto"/>
          <w:bottom w:val="single" w:sz="4" w:space="1" w:color="auto"/>
          <w:right w:val="single" w:sz="4" w:space="4" w:color="auto"/>
        </w:pBdr>
        <w:spacing w:after="60" w:line="360" w:lineRule="auto"/>
        <w:rPr>
          <w:rFonts w:asciiTheme="majorHAnsi" w:hAnsiTheme="majorHAnsi"/>
          <w:lang w:val="en-GB"/>
        </w:rPr>
      </w:pPr>
      <w:r w:rsidRPr="004547FB">
        <w:rPr>
          <w:rFonts w:asciiTheme="majorHAnsi" w:hAnsiTheme="majorHAnsi"/>
          <w:lang w:val="en-GB"/>
        </w:rPr>
        <w:t>Keywords: Maritime Labour; MLC, ILO, Working conditions.</w:t>
      </w:r>
    </w:p>
    <w:p w14:paraId="6BDCF747" w14:textId="26187199" w:rsidR="003B4D99" w:rsidRDefault="003B4D99">
      <w:pPr>
        <w:rPr>
          <w:rFonts w:asciiTheme="majorHAnsi" w:hAnsiTheme="majorHAnsi"/>
        </w:rPr>
      </w:pPr>
      <w:r>
        <w:rPr>
          <w:rFonts w:asciiTheme="majorHAnsi" w:hAnsiTheme="majorHAnsi"/>
        </w:rPr>
        <w:br w:type="page"/>
      </w:r>
    </w:p>
    <w:p w14:paraId="12CAC823" w14:textId="750910FC" w:rsidR="00512FD2" w:rsidRPr="00794A30" w:rsidRDefault="00794A30" w:rsidP="00794A30">
      <w:pPr>
        <w:spacing w:after="60" w:line="360" w:lineRule="auto"/>
        <w:rPr>
          <w:rFonts w:asciiTheme="majorHAnsi" w:hAnsiTheme="majorHAnsi"/>
          <w:b/>
          <w:sz w:val="28"/>
          <w:szCs w:val="28"/>
        </w:rPr>
      </w:pPr>
      <w:r w:rsidRPr="00794A30">
        <w:rPr>
          <w:rFonts w:asciiTheme="majorHAnsi" w:hAnsiTheme="majorHAnsi"/>
          <w:b/>
          <w:sz w:val="28"/>
          <w:szCs w:val="28"/>
        </w:rPr>
        <w:t>6. Referencias.</w:t>
      </w:r>
    </w:p>
    <w:p w14:paraId="48D147C9" w14:textId="5C563A61" w:rsidR="00794A30" w:rsidRPr="00794A30" w:rsidRDefault="00794A30" w:rsidP="00794A30">
      <w:pPr>
        <w:pStyle w:val="Referencetext"/>
        <w:spacing w:line="360" w:lineRule="auto"/>
        <w:rPr>
          <w:rFonts w:asciiTheme="majorHAnsi" w:hAnsiTheme="majorHAnsi"/>
          <w:sz w:val="24"/>
          <w:szCs w:val="24"/>
          <w:lang w:val="en-GB"/>
        </w:rPr>
      </w:pPr>
      <w:proofErr w:type="spellStart"/>
      <w:proofErr w:type="gramStart"/>
      <w:r w:rsidRPr="00794A30">
        <w:rPr>
          <w:rFonts w:asciiTheme="majorHAnsi" w:hAnsiTheme="majorHAnsi"/>
          <w:sz w:val="24"/>
          <w:szCs w:val="24"/>
          <w:lang w:val="en-GB"/>
        </w:rPr>
        <w:t>Alderton</w:t>
      </w:r>
      <w:proofErr w:type="spellEnd"/>
      <w:r w:rsidRPr="00794A30">
        <w:rPr>
          <w:rFonts w:asciiTheme="majorHAnsi" w:hAnsiTheme="majorHAnsi"/>
          <w:sz w:val="24"/>
          <w:szCs w:val="24"/>
          <w:lang w:val="en-GB"/>
        </w:rPr>
        <w:t>, T., &amp; Winchester, N., 2002a.</w:t>
      </w:r>
      <w:proofErr w:type="gramEnd"/>
      <w:r w:rsidRPr="00794A30">
        <w:rPr>
          <w:rFonts w:asciiTheme="majorHAnsi" w:hAnsiTheme="majorHAnsi"/>
          <w:sz w:val="24"/>
          <w:szCs w:val="24"/>
          <w:lang w:val="en-GB"/>
        </w:rPr>
        <w:t xml:space="preserve"> “Globalisation and de-regulation in the maritime industry.” </w:t>
      </w:r>
      <w:proofErr w:type="gramStart"/>
      <w:r w:rsidRPr="00794A30">
        <w:rPr>
          <w:rFonts w:asciiTheme="majorHAnsi" w:hAnsiTheme="majorHAnsi"/>
          <w:i/>
          <w:sz w:val="24"/>
          <w:szCs w:val="24"/>
          <w:lang w:val="en-GB"/>
        </w:rPr>
        <w:t>Marine Policy</w:t>
      </w:r>
      <w:r>
        <w:rPr>
          <w:rFonts w:asciiTheme="majorHAnsi" w:hAnsiTheme="majorHAnsi"/>
          <w:sz w:val="24"/>
          <w:szCs w:val="24"/>
          <w:lang w:val="en-GB"/>
        </w:rPr>
        <w:t xml:space="preserve"> 26 1: 35-43.</w:t>
      </w:r>
      <w:proofErr w:type="gramEnd"/>
    </w:p>
    <w:p w14:paraId="1FBBD76B" w14:textId="730A802A" w:rsidR="00794A30" w:rsidRPr="00794A30" w:rsidRDefault="00794A30" w:rsidP="00794A30">
      <w:pPr>
        <w:pStyle w:val="Referencetext"/>
        <w:spacing w:line="360" w:lineRule="auto"/>
        <w:rPr>
          <w:rFonts w:asciiTheme="majorHAnsi" w:hAnsiTheme="majorHAnsi"/>
          <w:sz w:val="24"/>
          <w:szCs w:val="24"/>
          <w:lang w:val="en-GB"/>
        </w:rPr>
      </w:pPr>
      <w:proofErr w:type="spellStart"/>
      <w:proofErr w:type="gramStart"/>
      <w:r w:rsidRPr="00794A30">
        <w:rPr>
          <w:rFonts w:asciiTheme="majorHAnsi" w:hAnsiTheme="majorHAnsi"/>
          <w:sz w:val="24"/>
          <w:szCs w:val="24"/>
          <w:lang w:val="en-GB"/>
        </w:rPr>
        <w:t>Alderton</w:t>
      </w:r>
      <w:proofErr w:type="spellEnd"/>
      <w:r w:rsidRPr="00794A30">
        <w:rPr>
          <w:rFonts w:asciiTheme="majorHAnsi" w:hAnsiTheme="majorHAnsi"/>
          <w:sz w:val="24"/>
          <w:szCs w:val="24"/>
          <w:lang w:val="en-GB"/>
        </w:rPr>
        <w:t>, T., &amp; Winchester, N., 2002b.</w:t>
      </w:r>
      <w:proofErr w:type="gramEnd"/>
      <w:r w:rsidRPr="00794A30">
        <w:rPr>
          <w:rFonts w:asciiTheme="majorHAnsi" w:hAnsiTheme="majorHAnsi"/>
          <w:sz w:val="24"/>
          <w:szCs w:val="24"/>
          <w:lang w:val="en-GB"/>
        </w:rPr>
        <w:t xml:space="preserve"> “Flag states and safety: 1997-1999” </w:t>
      </w:r>
      <w:r w:rsidRPr="00794A30">
        <w:rPr>
          <w:rFonts w:asciiTheme="majorHAnsi" w:hAnsiTheme="majorHAnsi"/>
          <w:i/>
          <w:sz w:val="24"/>
          <w:szCs w:val="24"/>
          <w:lang w:val="en-GB"/>
        </w:rPr>
        <w:t>Marine Policy and Management</w:t>
      </w:r>
      <w:r w:rsidRPr="00794A30">
        <w:rPr>
          <w:rFonts w:asciiTheme="majorHAnsi" w:hAnsiTheme="majorHAnsi"/>
          <w:sz w:val="24"/>
          <w:szCs w:val="24"/>
          <w:lang w:val="en-GB"/>
        </w:rPr>
        <w:t xml:space="preserve"> 29 2: 151-162 </w:t>
      </w:r>
    </w:p>
    <w:p w14:paraId="0443DED8" w14:textId="55420D5E" w:rsidR="00794A30" w:rsidRPr="00794A30" w:rsidRDefault="00794A30" w:rsidP="00794A30">
      <w:pPr>
        <w:pStyle w:val="Referencetext"/>
        <w:spacing w:line="360" w:lineRule="auto"/>
        <w:rPr>
          <w:rFonts w:asciiTheme="majorHAnsi" w:hAnsiTheme="majorHAnsi"/>
          <w:sz w:val="24"/>
          <w:szCs w:val="24"/>
          <w:lang w:val="en-GB"/>
        </w:rPr>
      </w:pPr>
      <w:r w:rsidRPr="00794A30">
        <w:rPr>
          <w:rFonts w:asciiTheme="majorHAnsi" w:hAnsiTheme="majorHAnsi"/>
          <w:sz w:val="24"/>
          <w:szCs w:val="24"/>
          <w:lang w:val="en-GB"/>
        </w:rPr>
        <w:t xml:space="preserve">Bauer, P.J. 2007. </w:t>
      </w:r>
      <w:r w:rsidR="00C7089B">
        <w:rPr>
          <w:rFonts w:asciiTheme="majorHAnsi" w:hAnsiTheme="majorHAnsi"/>
          <w:sz w:val="24"/>
          <w:szCs w:val="24"/>
          <w:lang w:val="en-GB"/>
        </w:rPr>
        <w:t>“</w:t>
      </w:r>
      <w:r w:rsidRPr="00794A30">
        <w:rPr>
          <w:rFonts w:asciiTheme="majorHAnsi" w:hAnsiTheme="majorHAnsi"/>
          <w:sz w:val="24"/>
          <w:szCs w:val="24"/>
          <w:lang w:val="en-GB"/>
        </w:rPr>
        <w:t>The Maritime Labour Convention: An Adequate Guarantee of Seafarer Rights, or and Impediment to True Reforms</w:t>
      </w:r>
      <w:r w:rsidR="00C7089B">
        <w:rPr>
          <w:rFonts w:asciiTheme="majorHAnsi" w:hAnsiTheme="majorHAnsi"/>
          <w:sz w:val="24"/>
          <w:szCs w:val="24"/>
          <w:lang w:val="en-GB"/>
        </w:rPr>
        <w:t>.”</w:t>
      </w:r>
      <w:r w:rsidRPr="00794A30">
        <w:rPr>
          <w:rFonts w:asciiTheme="majorHAnsi" w:hAnsiTheme="majorHAnsi"/>
          <w:sz w:val="24"/>
          <w:szCs w:val="24"/>
          <w:lang w:val="en-GB"/>
        </w:rPr>
        <w:t xml:space="preserve"> </w:t>
      </w:r>
      <w:r w:rsidRPr="00794A30">
        <w:rPr>
          <w:rFonts w:asciiTheme="majorHAnsi" w:hAnsiTheme="majorHAnsi"/>
          <w:i/>
          <w:sz w:val="24"/>
          <w:szCs w:val="24"/>
          <w:lang w:val="en-GB"/>
        </w:rPr>
        <w:t xml:space="preserve">Chi J </w:t>
      </w:r>
      <w:proofErr w:type="spellStart"/>
      <w:r w:rsidRPr="00794A30">
        <w:rPr>
          <w:rFonts w:asciiTheme="majorHAnsi" w:hAnsiTheme="majorHAnsi"/>
          <w:i/>
          <w:sz w:val="24"/>
          <w:szCs w:val="24"/>
          <w:lang w:val="en-GB"/>
        </w:rPr>
        <w:t>Int</w:t>
      </w:r>
      <w:proofErr w:type="spellEnd"/>
      <w:r w:rsidRPr="00794A30">
        <w:rPr>
          <w:rFonts w:asciiTheme="majorHAnsi" w:hAnsiTheme="majorHAnsi"/>
          <w:i/>
          <w:sz w:val="24"/>
          <w:szCs w:val="24"/>
          <w:lang w:val="en-GB"/>
        </w:rPr>
        <w:t xml:space="preserve"> Law</w:t>
      </w:r>
      <w:r w:rsidRPr="00794A30">
        <w:rPr>
          <w:rFonts w:asciiTheme="majorHAnsi" w:hAnsiTheme="majorHAnsi"/>
          <w:sz w:val="24"/>
          <w:szCs w:val="24"/>
          <w:lang w:val="en-GB"/>
        </w:rPr>
        <w:t xml:space="preserve"> 8:643-655.</w:t>
      </w:r>
    </w:p>
    <w:p w14:paraId="3AC8B612" w14:textId="187942D2" w:rsidR="00794A30" w:rsidRPr="00794A30" w:rsidRDefault="00794A30" w:rsidP="00794A30">
      <w:pPr>
        <w:pStyle w:val="Referencetext"/>
        <w:spacing w:line="360" w:lineRule="auto"/>
        <w:rPr>
          <w:rFonts w:asciiTheme="majorHAnsi" w:hAnsiTheme="majorHAnsi"/>
          <w:sz w:val="24"/>
          <w:szCs w:val="24"/>
          <w:lang w:val="en-GB"/>
        </w:rPr>
      </w:pPr>
      <w:r w:rsidRPr="00794A30">
        <w:rPr>
          <w:rFonts w:asciiTheme="majorHAnsi" w:hAnsiTheme="majorHAnsi"/>
          <w:sz w:val="24"/>
          <w:szCs w:val="24"/>
          <w:lang w:val="en-GB"/>
        </w:rPr>
        <w:t xml:space="preserve">Brook, M.R., 1996. “The privatization of ship safety” </w:t>
      </w:r>
      <w:r w:rsidRPr="00794A30">
        <w:rPr>
          <w:rFonts w:asciiTheme="majorHAnsi" w:hAnsiTheme="majorHAnsi"/>
          <w:i/>
          <w:sz w:val="24"/>
          <w:szCs w:val="24"/>
          <w:lang w:val="en-GB"/>
        </w:rPr>
        <w:t>Marine Policy and Management</w:t>
      </w:r>
      <w:r>
        <w:rPr>
          <w:rFonts w:asciiTheme="majorHAnsi" w:hAnsiTheme="majorHAnsi"/>
          <w:sz w:val="24"/>
          <w:szCs w:val="24"/>
          <w:lang w:val="en-GB"/>
        </w:rPr>
        <w:t xml:space="preserve"> 23 3: 271-288</w:t>
      </w:r>
    </w:p>
    <w:p w14:paraId="40FDB3D2" w14:textId="7F052649" w:rsidR="00794A30" w:rsidRPr="00794A30" w:rsidRDefault="00794A30" w:rsidP="00794A30">
      <w:pPr>
        <w:pStyle w:val="Referencetext"/>
        <w:spacing w:line="360" w:lineRule="auto"/>
        <w:rPr>
          <w:rFonts w:asciiTheme="majorHAnsi" w:hAnsiTheme="majorHAnsi"/>
          <w:sz w:val="24"/>
          <w:szCs w:val="24"/>
          <w:lang w:val="en-GB"/>
        </w:rPr>
      </w:pPr>
      <w:proofErr w:type="spellStart"/>
      <w:proofErr w:type="gramStart"/>
      <w:r w:rsidRPr="00794A30">
        <w:rPr>
          <w:rFonts w:asciiTheme="majorHAnsi" w:hAnsiTheme="majorHAnsi"/>
          <w:sz w:val="24"/>
          <w:szCs w:val="24"/>
          <w:lang w:val="en-GB"/>
        </w:rPr>
        <w:t>Cariou</w:t>
      </w:r>
      <w:proofErr w:type="spellEnd"/>
      <w:r w:rsidRPr="00794A30">
        <w:rPr>
          <w:rFonts w:asciiTheme="majorHAnsi" w:hAnsiTheme="majorHAnsi"/>
          <w:sz w:val="24"/>
          <w:szCs w:val="24"/>
          <w:lang w:val="en-GB"/>
        </w:rPr>
        <w:t xml:space="preserve">, P., Mejia, J., </w:t>
      </w:r>
      <w:proofErr w:type="spellStart"/>
      <w:r w:rsidRPr="00794A30">
        <w:rPr>
          <w:rFonts w:asciiTheme="majorHAnsi" w:hAnsiTheme="majorHAnsi"/>
          <w:sz w:val="24"/>
          <w:szCs w:val="24"/>
          <w:lang w:val="en-GB"/>
        </w:rPr>
        <w:t>Maximo</w:t>
      </w:r>
      <w:proofErr w:type="spellEnd"/>
      <w:r w:rsidRPr="00794A30">
        <w:rPr>
          <w:rFonts w:asciiTheme="majorHAnsi" w:hAnsiTheme="majorHAnsi"/>
          <w:sz w:val="24"/>
          <w:szCs w:val="24"/>
          <w:lang w:val="en-GB"/>
        </w:rPr>
        <w:t>, Q. &amp; Wolf, F.C., 2007.</w:t>
      </w:r>
      <w:proofErr w:type="gramEnd"/>
      <w:r w:rsidRPr="00794A30">
        <w:rPr>
          <w:rFonts w:asciiTheme="majorHAnsi" w:hAnsiTheme="majorHAnsi"/>
          <w:sz w:val="24"/>
          <w:szCs w:val="24"/>
          <w:lang w:val="en-GB"/>
        </w:rPr>
        <w:t xml:space="preserve"> “An econometric analysis of </w:t>
      </w:r>
      <w:proofErr w:type="spellStart"/>
      <w:r w:rsidRPr="00794A30">
        <w:rPr>
          <w:rFonts w:asciiTheme="majorHAnsi" w:hAnsiTheme="majorHAnsi"/>
          <w:sz w:val="24"/>
          <w:szCs w:val="24"/>
          <w:lang w:val="en-GB"/>
        </w:rPr>
        <w:t>deficiences</w:t>
      </w:r>
      <w:proofErr w:type="spellEnd"/>
      <w:r w:rsidRPr="00794A30">
        <w:rPr>
          <w:rFonts w:asciiTheme="majorHAnsi" w:hAnsiTheme="majorHAnsi"/>
          <w:sz w:val="24"/>
          <w:szCs w:val="24"/>
          <w:lang w:val="en-GB"/>
        </w:rPr>
        <w:t xml:space="preserve"> noted in port state control inspections.” </w:t>
      </w:r>
      <w:r w:rsidRPr="00794A30">
        <w:rPr>
          <w:rFonts w:asciiTheme="majorHAnsi" w:hAnsiTheme="majorHAnsi"/>
          <w:i/>
          <w:sz w:val="24"/>
          <w:szCs w:val="24"/>
          <w:lang w:val="en-GB"/>
        </w:rPr>
        <w:t xml:space="preserve">Maritime Policy and </w:t>
      </w:r>
      <w:proofErr w:type="gramStart"/>
      <w:r w:rsidRPr="00794A30">
        <w:rPr>
          <w:rFonts w:asciiTheme="majorHAnsi" w:hAnsiTheme="majorHAnsi"/>
          <w:i/>
          <w:sz w:val="24"/>
          <w:szCs w:val="24"/>
          <w:lang w:val="en-GB"/>
        </w:rPr>
        <w:t>Management</w:t>
      </w:r>
      <w:r w:rsidRPr="00794A30">
        <w:rPr>
          <w:rFonts w:asciiTheme="majorHAnsi" w:hAnsiTheme="majorHAnsi"/>
          <w:sz w:val="24"/>
          <w:szCs w:val="24"/>
          <w:lang w:val="en-GB"/>
        </w:rPr>
        <w:t xml:space="preserve">  34</w:t>
      </w:r>
      <w:proofErr w:type="gramEnd"/>
      <w:r w:rsidRPr="00794A30">
        <w:rPr>
          <w:rFonts w:asciiTheme="majorHAnsi" w:hAnsiTheme="majorHAnsi"/>
          <w:sz w:val="24"/>
          <w:szCs w:val="24"/>
          <w:lang w:val="en-GB"/>
        </w:rPr>
        <w:t xml:space="preserve"> 3: 243-258. </w:t>
      </w:r>
    </w:p>
    <w:p w14:paraId="5FE84C9D" w14:textId="039AC0F9" w:rsidR="00794A30" w:rsidRPr="00794A30" w:rsidRDefault="00794A30" w:rsidP="00794A30">
      <w:pPr>
        <w:pStyle w:val="Referencetext"/>
        <w:spacing w:line="360" w:lineRule="auto"/>
        <w:rPr>
          <w:rFonts w:asciiTheme="majorHAnsi" w:hAnsiTheme="majorHAnsi"/>
          <w:sz w:val="24"/>
          <w:szCs w:val="24"/>
          <w:lang w:val="en-GB"/>
        </w:rPr>
      </w:pPr>
      <w:proofErr w:type="spellStart"/>
      <w:r w:rsidRPr="00794A30">
        <w:rPr>
          <w:rFonts w:asciiTheme="majorHAnsi" w:hAnsiTheme="majorHAnsi"/>
          <w:sz w:val="24"/>
          <w:szCs w:val="24"/>
          <w:lang w:val="en-GB"/>
        </w:rPr>
        <w:t>Cariou</w:t>
      </w:r>
      <w:proofErr w:type="spellEnd"/>
      <w:r w:rsidRPr="00794A30">
        <w:rPr>
          <w:rFonts w:asciiTheme="majorHAnsi" w:hAnsiTheme="majorHAnsi"/>
          <w:sz w:val="24"/>
          <w:szCs w:val="24"/>
          <w:lang w:val="en-GB"/>
        </w:rPr>
        <w:t xml:space="preserve">, P., Mejia, M.Q., &amp; Wolf, F.C., 2008. “On the effectiveness of port state control inspections.” </w:t>
      </w:r>
      <w:r w:rsidRPr="00794A30">
        <w:rPr>
          <w:rFonts w:asciiTheme="majorHAnsi" w:hAnsiTheme="majorHAnsi"/>
          <w:i/>
          <w:sz w:val="24"/>
          <w:szCs w:val="24"/>
          <w:lang w:val="en-GB"/>
        </w:rPr>
        <w:t>Transportation Research Part E: Logistics and Transportation Review</w:t>
      </w:r>
      <w:r w:rsidRPr="00794A30">
        <w:rPr>
          <w:rFonts w:asciiTheme="majorHAnsi" w:hAnsiTheme="majorHAnsi"/>
          <w:sz w:val="24"/>
          <w:szCs w:val="24"/>
          <w:lang w:val="en-GB"/>
        </w:rPr>
        <w:t xml:space="preserve"> 44 3: 491-503. </w:t>
      </w:r>
    </w:p>
    <w:p w14:paraId="6DD00E41" w14:textId="62E9CD12" w:rsidR="00794A30" w:rsidRPr="00794A30" w:rsidRDefault="00794A30" w:rsidP="00794A30">
      <w:pPr>
        <w:pStyle w:val="Referencetext"/>
        <w:spacing w:line="360" w:lineRule="auto"/>
        <w:rPr>
          <w:rFonts w:asciiTheme="majorHAnsi" w:hAnsiTheme="majorHAnsi"/>
          <w:sz w:val="24"/>
          <w:szCs w:val="24"/>
          <w:lang w:val="en-GB"/>
        </w:rPr>
      </w:pPr>
      <w:proofErr w:type="spellStart"/>
      <w:r w:rsidRPr="00794A30">
        <w:rPr>
          <w:rFonts w:asciiTheme="majorHAnsi" w:hAnsiTheme="majorHAnsi"/>
          <w:sz w:val="24"/>
          <w:szCs w:val="24"/>
          <w:lang w:val="en-GB"/>
        </w:rPr>
        <w:t>Cariou</w:t>
      </w:r>
      <w:proofErr w:type="spellEnd"/>
      <w:r w:rsidRPr="00794A30">
        <w:rPr>
          <w:rFonts w:asciiTheme="majorHAnsi" w:hAnsiTheme="majorHAnsi"/>
          <w:sz w:val="24"/>
          <w:szCs w:val="24"/>
          <w:lang w:val="en-GB"/>
        </w:rPr>
        <w:t xml:space="preserve">, P., Mejia, M.Q., &amp; Wolf, F.C., 2009. “Evidence on target factors used for port state control inspections.” </w:t>
      </w:r>
      <w:r w:rsidRPr="00794A30">
        <w:rPr>
          <w:rFonts w:asciiTheme="majorHAnsi" w:hAnsiTheme="majorHAnsi"/>
          <w:i/>
          <w:sz w:val="24"/>
          <w:szCs w:val="24"/>
          <w:lang w:val="en-GB"/>
        </w:rPr>
        <w:t>Marine Policy</w:t>
      </w:r>
      <w:r w:rsidRPr="00794A30">
        <w:rPr>
          <w:rFonts w:asciiTheme="majorHAnsi" w:hAnsiTheme="majorHAnsi"/>
          <w:sz w:val="24"/>
          <w:szCs w:val="24"/>
          <w:lang w:val="en-GB"/>
        </w:rPr>
        <w:t xml:space="preserve"> 33 5: 847-859. </w:t>
      </w:r>
    </w:p>
    <w:p w14:paraId="61BFD10B" w14:textId="31E5FECC" w:rsidR="00794A30" w:rsidRPr="00794A30" w:rsidRDefault="00794A30" w:rsidP="00794A30">
      <w:pPr>
        <w:pStyle w:val="Referencetext"/>
        <w:spacing w:line="360" w:lineRule="auto"/>
        <w:rPr>
          <w:rFonts w:asciiTheme="majorHAnsi" w:hAnsiTheme="majorHAnsi"/>
          <w:sz w:val="24"/>
          <w:szCs w:val="24"/>
          <w:lang w:val="en-GB"/>
        </w:rPr>
      </w:pPr>
      <w:proofErr w:type="spellStart"/>
      <w:r w:rsidRPr="00794A30">
        <w:rPr>
          <w:rFonts w:asciiTheme="majorHAnsi" w:hAnsiTheme="majorHAnsi"/>
          <w:sz w:val="24"/>
          <w:szCs w:val="24"/>
          <w:lang w:val="en-GB"/>
        </w:rPr>
        <w:t>Chaumette</w:t>
      </w:r>
      <w:proofErr w:type="spellEnd"/>
      <w:r w:rsidRPr="00794A30">
        <w:rPr>
          <w:rFonts w:asciiTheme="majorHAnsi" w:hAnsiTheme="majorHAnsi"/>
          <w:sz w:val="24"/>
          <w:szCs w:val="24"/>
          <w:lang w:val="en-GB"/>
        </w:rPr>
        <w:t xml:space="preserve">, P. 2010. </w:t>
      </w:r>
      <w:r w:rsidR="00C7089B">
        <w:rPr>
          <w:rFonts w:asciiTheme="majorHAnsi" w:hAnsiTheme="majorHAnsi"/>
          <w:sz w:val="24"/>
          <w:szCs w:val="24"/>
          <w:lang w:val="en-GB"/>
        </w:rPr>
        <w:t>“</w:t>
      </w:r>
      <w:r w:rsidRPr="00794A30">
        <w:rPr>
          <w:rFonts w:asciiTheme="majorHAnsi" w:hAnsiTheme="majorHAnsi"/>
          <w:sz w:val="24"/>
          <w:szCs w:val="24"/>
          <w:lang w:val="en-GB"/>
        </w:rPr>
        <w:t xml:space="preserve">El </w:t>
      </w:r>
      <w:proofErr w:type="spellStart"/>
      <w:r w:rsidRPr="00794A30">
        <w:rPr>
          <w:rFonts w:asciiTheme="majorHAnsi" w:hAnsiTheme="majorHAnsi"/>
          <w:sz w:val="24"/>
          <w:szCs w:val="24"/>
          <w:lang w:val="en-GB"/>
        </w:rPr>
        <w:t>Convenio</w:t>
      </w:r>
      <w:proofErr w:type="spellEnd"/>
      <w:r w:rsidRPr="00794A30">
        <w:rPr>
          <w:rFonts w:asciiTheme="majorHAnsi" w:hAnsiTheme="majorHAnsi"/>
          <w:sz w:val="24"/>
          <w:szCs w:val="24"/>
          <w:lang w:val="en-GB"/>
        </w:rPr>
        <w:t xml:space="preserve"> </w:t>
      </w:r>
      <w:proofErr w:type="spellStart"/>
      <w:r w:rsidRPr="00794A30">
        <w:rPr>
          <w:rFonts w:asciiTheme="majorHAnsi" w:hAnsiTheme="majorHAnsi"/>
          <w:sz w:val="24"/>
          <w:szCs w:val="24"/>
          <w:lang w:val="en-GB"/>
        </w:rPr>
        <w:t>sobre</w:t>
      </w:r>
      <w:proofErr w:type="spellEnd"/>
      <w:r w:rsidRPr="00794A30">
        <w:rPr>
          <w:rFonts w:asciiTheme="majorHAnsi" w:hAnsiTheme="majorHAnsi"/>
          <w:sz w:val="24"/>
          <w:szCs w:val="24"/>
          <w:lang w:val="en-GB"/>
        </w:rPr>
        <w:t xml:space="preserve"> el </w:t>
      </w:r>
      <w:proofErr w:type="spellStart"/>
      <w:r w:rsidRPr="00794A30">
        <w:rPr>
          <w:rFonts w:asciiTheme="majorHAnsi" w:hAnsiTheme="majorHAnsi"/>
          <w:sz w:val="24"/>
          <w:szCs w:val="24"/>
          <w:lang w:val="en-GB"/>
        </w:rPr>
        <w:t>Trabajo</w:t>
      </w:r>
      <w:proofErr w:type="spellEnd"/>
      <w:r w:rsidRPr="00794A30">
        <w:rPr>
          <w:rFonts w:asciiTheme="majorHAnsi" w:hAnsiTheme="majorHAnsi"/>
          <w:sz w:val="24"/>
          <w:szCs w:val="24"/>
          <w:lang w:val="en-GB"/>
        </w:rPr>
        <w:t xml:space="preserve"> </w:t>
      </w:r>
      <w:proofErr w:type="spellStart"/>
      <w:r w:rsidRPr="00794A30">
        <w:rPr>
          <w:rFonts w:asciiTheme="majorHAnsi" w:hAnsiTheme="majorHAnsi"/>
          <w:sz w:val="24"/>
          <w:szCs w:val="24"/>
          <w:lang w:val="en-GB"/>
        </w:rPr>
        <w:t>Marítimo</w:t>
      </w:r>
      <w:proofErr w:type="spellEnd"/>
      <w:r w:rsidRPr="00794A30">
        <w:rPr>
          <w:rFonts w:asciiTheme="majorHAnsi" w:hAnsiTheme="majorHAnsi"/>
          <w:sz w:val="24"/>
          <w:szCs w:val="24"/>
          <w:lang w:val="en-GB"/>
        </w:rPr>
        <w:t xml:space="preserve">: </w:t>
      </w:r>
      <w:proofErr w:type="spellStart"/>
      <w:r w:rsidRPr="00794A30">
        <w:rPr>
          <w:rFonts w:asciiTheme="majorHAnsi" w:hAnsiTheme="majorHAnsi"/>
          <w:sz w:val="24"/>
          <w:szCs w:val="24"/>
          <w:lang w:val="en-GB"/>
        </w:rPr>
        <w:t>cuarto</w:t>
      </w:r>
      <w:proofErr w:type="spellEnd"/>
      <w:r w:rsidRPr="00794A30">
        <w:rPr>
          <w:rFonts w:asciiTheme="majorHAnsi" w:hAnsiTheme="majorHAnsi"/>
          <w:sz w:val="24"/>
          <w:szCs w:val="24"/>
          <w:lang w:val="en-GB"/>
        </w:rPr>
        <w:t xml:space="preserve"> </w:t>
      </w:r>
      <w:proofErr w:type="spellStart"/>
      <w:r w:rsidRPr="00794A30">
        <w:rPr>
          <w:rFonts w:asciiTheme="majorHAnsi" w:hAnsiTheme="majorHAnsi"/>
          <w:sz w:val="24"/>
          <w:szCs w:val="24"/>
          <w:lang w:val="en-GB"/>
        </w:rPr>
        <w:t>pilar</w:t>
      </w:r>
      <w:proofErr w:type="spellEnd"/>
      <w:r w:rsidRPr="00794A30">
        <w:rPr>
          <w:rFonts w:asciiTheme="majorHAnsi" w:hAnsiTheme="majorHAnsi"/>
          <w:sz w:val="24"/>
          <w:szCs w:val="24"/>
          <w:lang w:val="en-GB"/>
        </w:rPr>
        <w:t xml:space="preserve"> del </w:t>
      </w:r>
      <w:proofErr w:type="spellStart"/>
      <w:r w:rsidRPr="00794A30">
        <w:rPr>
          <w:rFonts w:asciiTheme="majorHAnsi" w:hAnsiTheme="majorHAnsi"/>
          <w:sz w:val="24"/>
          <w:szCs w:val="24"/>
          <w:lang w:val="en-GB"/>
        </w:rPr>
        <w:t>Derecho</w:t>
      </w:r>
      <w:proofErr w:type="spellEnd"/>
      <w:r w:rsidRPr="00794A30">
        <w:rPr>
          <w:rFonts w:asciiTheme="majorHAnsi" w:hAnsiTheme="majorHAnsi"/>
          <w:sz w:val="24"/>
          <w:szCs w:val="24"/>
          <w:lang w:val="en-GB"/>
        </w:rPr>
        <w:t xml:space="preserve"> </w:t>
      </w:r>
      <w:proofErr w:type="spellStart"/>
      <w:r w:rsidRPr="00794A30">
        <w:rPr>
          <w:rFonts w:asciiTheme="majorHAnsi" w:hAnsiTheme="majorHAnsi"/>
          <w:sz w:val="24"/>
          <w:szCs w:val="24"/>
          <w:lang w:val="en-GB"/>
        </w:rPr>
        <w:t>Internacional</w:t>
      </w:r>
      <w:proofErr w:type="spellEnd"/>
      <w:r w:rsidRPr="00794A30">
        <w:rPr>
          <w:rFonts w:asciiTheme="majorHAnsi" w:hAnsiTheme="majorHAnsi"/>
          <w:sz w:val="24"/>
          <w:szCs w:val="24"/>
          <w:lang w:val="en-GB"/>
        </w:rPr>
        <w:t xml:space="preserve"> </w:t>
      </w:r>
      <w:proofErr w:type="spellStart"/>
      <w:r w:rsidRPr="00794A30">
        <w:rPr>
          <w:rFonts w:asciiTheme="majorHAnsi" w:hAnsiTheme="majorHAnsi"/>
          <w:sz w:val="24"/>
          <w:szCs w:val="24"/>
          <w:lang w:val="en-GB"/>
        </w:rPr>
        <w:t>Marítimo</w:t>
      </w:r>
      <w:proofErr w:type="spellEnd"/>
      <w:r w:rsidRPr="00794A30">
        <w:rPr>
          <w:rFonts w:asciiTheme="majorHAnsi" w:hAnsiTheme="majorHAnsi"/>
          <w:sz w:val="24"/>
          <w:szCs w:val="24"/>
          <w:lang w:val="en-GB"/>
        </w:rPr>
        <w:t>.</w:t>
      </w:r>
      <w:r w:rsidR="00C7089B">
        <w:rPr>
          <w:rFonts w:asciiTheme="majorHAnsi" w:hAnsiTheme="majorHAnsi"/>
          <w:sz w:val="24"/>
          <w:szCs w:val="24"/>
          <w:lang w:val="en-GB"/>
        </w:rPr>
        <w:t>”</w:t>
      </w:r>
      <w:bookmarkStart w:id="0" w:name="_GoBack"/>
      <w:bookmarkEnd w:id="0"/>
      <w:r w:rsidRPr="00794A30">
        <w:rPr>
          <w:rFonts w:asciiTheme="majorHAnsi" w:hAnsiTheme="majorHAnsi"/>
          <w:sz w:val="24"/>
          <w:szCs w:val="24"/>
          <w:lang w:val="en-GB"/>
        </w:rPr>
        <w:t xml:space="preserve"> </w:t>
      </w:r>
      <w:r>
        <w:rPr>
          <w:rFonts w:asciiTheme="majorHAnsi" w:hAnsiTheme="majorHAnsi"/>
          <w:i/>
          <w:sz w:val="24"/>
          <w:szCs w:val="24"/>
          <w:lang w:val="en-GB"/>
        </w:rPr>
        <w:t xml:space="preserve">Rev </w:t>
      </w:r>
      <w:proofErr w:type="spellStart"/>
      <w:r>
        <w:rPr>
          <w:rFonts w:asciiTheme="majorHAnsi" w:hAnsiTheme="majorHAnsi"/>
          <w:i/>
          <w:sz w:val="24"/>
          <w:szCs w:val="24"/>
          <w:lang w:val="en-GB"/>
        </w:rPr>
        <w:t>Mi</w:t>
      </w:r>
      <w:r w:rsidRPr="00794A30">
        <w:rPr>
          <w:rFonts w:asciiTheme="majorHAnsi" w:hAnsiTheme="majorHAnsi"/>
          <w:i/>
          <w:sz w:val="24"/>
          <w:szCs w:val="24"/>
          <w:lang w:val="en-GB"/>
        </w:rPr>
        <w:t>nisterio</w:t>
      </w:r>
      <w:proofErr w:type="spellEnd"/>
      <w:r w:rsidRPr="00794A30">
        <w:rPr>
          <w:rFonts w:asciiTheme="majorHAnsi" w:hAnsiTheme="majorHAnsi"/>
          <w:i/>
          <w:sz w:val="24"/>
          <w:szCs w:val="24"/>
          <w:lang w:val="en-GB"/>
        </w:rPr>
        <w:t xml:space="preserve"> </w:t>
      </w:r>
      <w:proofErr w:type="spellStart"/>
      <w:r w:rsidRPr="00794A30">
        <w:rPr>
          <w:rFonts w:asciiTheme="majorHAnsi" w:hAnsiTheme="majorHAnsi"/>
          <w:i/>
          <w:sz w:val="24"/>
          <w:szCs w:val="24"/>
          <w:lang w:val="en-GB"/>
        </w:rPr>
        <w:t>Trabajo</w:t>
      </w:r>
      <w:proofErr w:type="spellEnd"/>
      <w:r w:rsidRPr="00794A30">
        <w:rPr>
          <w:rFonts w:asciiTheme="majorHAnsi" w:hAnsiTheme="majorHAnsi"/>
          <w:sz w:val="24"/>
          <w:szCs w:val="24"/>
          <w:lang w:val="en-GB"/>
        </w:rPr>
        <w:t xml:space="preserve"> 82:65-76</w:t>
      </w:r>
    </w:p>
    <w:p w14:paraId="16C36F89" w14:textId="77777777" w:rsidR="00794A30" w:rsidRPr="00794A30" w:rsidRDefault="00794A30" w:rsidP="00794A30">
      <w:pPr>
        <w:pStyle w:val="Referencetext"/>
        <w:spacing w:line="360" w:lineRule="auto"/>
        <w:rPr>
          <w:rFonts w:asciiTheme="majorHAnsi" w:hAnsiTheme="majorHAnsi"/>
          <w:sz w:val="24"/>
          <w:szCs w:val="24"/>
          <w:lang w:val="en-GB"/>
        </w:rPr>
      </w:pPr>
      <w:proofErr w:type="gramStart"/>
      <w:r w:rsidRPr="00794A30">
        <w:rPr>
          <w:rFonts w:asciiTheme="majorHAnsi" w:hAnsiTheme="majorHAnsi"/>
          <w:sz w:val="24"/>
          <w:szCs w:val="24"/>
          <w:lang w:val="en-GB"/>
        </w:rPr>
        <w:t>EC European Council 1994.</w:t>
      </w:r>
      <w:proofErr w:type="gramEnd"/>
      <w:r w:rsidRPr="00794A30">
        <w:rPr>
          <w:rFonts w:asciiTheme="majorHAnsi" w:hAnsiTheme="majorHAnsi"/>
          <w:sz w:val="24"/>
          <w:szCs w:val="24"/>
          <w:lang w:val="en-GB"/>
        </w:rPr>
        <w:t xml:space="preserve"> </w:t>
      </w:r>
      <w:proofErr w:type="gramStart"/>
      <w:r w:rsidRPr="00794A30">
        <w:rPr>
          <w:rFonts w:asciiTheme="majorHAnsi" w:hAnsiTheme="majorHAnsi"/>
          <w:sz w:val="24"/>
          <w:szCs w:val="24"/>
          <w:lang w:val="en-GB"/>
        </w:rPr>
        <w:t>Council Directive 94/57/EC of 22 November 1994 on common rules and standards for ship inspection and survey organizations and for the relevant activities of maritime administrations.</w:t>
      </w:r>
      <w:proofErr w:type="gramEnd"/>
    </w:p>
    <w:p w14:paraId="629A9AC2" w14:textId="77777777" w:rsidR="00794A30" w:rsidRPr="00794A30" w:rsidRDefault="00794A30" w:rsidP="00794A30">
      <w:pPr>
        <w:pStyle w:val="Referencetext"/>
        <w:spacing w:line="360" w:lineRule="auto"/>
        <w:rPr>
          <w:rFonts w:asciiTheme="majorHAnsi" w:hAnsiTheme="majorHAnsi"/>
          <w:sz w:val="24"/>
          <w:szCs w:val="24"/>
          <w:lang w:val="en-GB"/>
        </w:rPr>
      </w:pPr>
      <w:r w:rsidRPr="00794A30">
        <w:rPr>
          <w:rFonts w:asciiTheme="majorHAnsi" w:hAnsiTheme="majorHAnsi"/>
          <w:sz w:val="24"/>
          <w:szCs w:val="24"/>
          <w:lang w:val="en-GB"/>
        </w:rPr>
        <w:t>EC 1997. Directive 97/58/EC of 26 September 1997 amending Council Directive 94/57/EC on common rules and standards for ship inspection and survey organizations and for the relevant activities of maritime administrations.</w:t>
      </w:r>
    </w:p>
    <w:p w14:paraId="602FE2F6" w14:textId="2A2C0002" w:rsidR="00794A30" w:rsidRPr="00794A30" w:rsidRDefault="00794A30" w:rsidP="00794A30">
      <w:pPr>
        <w:pStyle w:val="Referencetext"/>
        <w:spacing w:line="360" w:lineRule="auto"/>
        <w:rPr>
          <w:rFonts w:asciiTheme="majorHAnsi" w:hAnsiTheme="majorHAnsi"/>
          <w:sz w:val="24"/>
          <w:szCs w:val="24"/>
          <w:lang w:val="en-GB"/>
        </w:rPr>
      </w:pPr>
      <w:r w:rsidRPr="00794A30">
        <w:rPr>
          <w:rFonts w:asciiTheme="majorHAnsi" w:hAnsiTheme="majorHAnsi"/>
          <w:sz w:val="24"/>
          <w:szCs w:val="24"/>
          <w:lang w:val="en-GB"/>
        </w:rPr>
        <w:t>EC 2001. Directive 2001/105/EC of 19 December 2001 amending Council Directive 94/57/EC on common rules and standards for ship inspection and survey organisations and</w:t>
      </w:r>
      <w:r>
        <w:rPr>
          <w:rFonts w:asciiTheme="majorHAnsi" w:hAnsiTheme="majorHAnsi"/>
          <w:sz w:val="24"/>
          <w:szCs w:val="24"/>
          <w:lang w:val="en-GB"/>
        </w:rPr>
        <w:t xml:space="preserve"> </w:t>
      </w:r>
      <w:r w:rsidRPr="00794A30">
        <w:rPr>
          <w:rFonts w:asciiTheme="majorHAnsi" w:hAnsiTheme="majorHAnsi"/>
          <w:sz w:val="24"/>
          <w:szCs w:val="24"/>
          <w:lang w:val="en-GB"/>
        </w:rPr>
        <w:t>for the relevant activities of maritime administrations.</w:t>
      </w:r>
    </w:p>
    <w:p w14:paraId="2822D315" w14:textId="77777777" w:rsidR="00794A30" w:rsidRPr="00794A30" w:rsidRDefault="00794A30" w:rsidP="00794A30">
      <w:pPr>
        <w:pStyle w:val="Referencetext"/>
        <w:spacing w:line="360" w:lineRule="auto"/>
        <w:rPr>
          <w:rFonts w:asciiTheme="majorHAnsi" w:hAnsiTheme="majorHAnsi"/>
          <w:sz w:val="24"/>
          <w:szCs w:val="24"/>
          <w:lang w:val="en-GB"/>
        </w:rPr>
      </w:pPr>
      <w:r w:rsidRPr="00794A30">
        <w:rPr>
          <w:rFonts w:asciiTheme="majorHAnsi" w:hAnsiTheme="majorHAnsi"/>
          <w:sz w:val="24"/>
          <w:szCs w:val="24"/>
          <w:lang w:val="en-GB"/>
        </w:rPr>
        <w:t>EC 2007. Council Decision 2007/431/EC of 7 June 2007 authorising Member States to ratify, in the interests of the European Community, the Maritime Labour Convention, 2006, of the International Labour Organisation. OJ L161</w:t>
      </w:r>
      <w:proofErr w:type="gramStart"/>
      <w:r w:rsidRPr="00794A30">
        <w:rPr>
          <w:rFonts w:asciiTheme="majorHAnsi" w:hAnsiTheme="majorHAnsi"/>
          <w:sz w:val="24"/>
          <w:szCs w:val="24"/>
          <w:lang w:val="en-GB"/>
        </w:rPr>
        <w:t>:63</w:t>
      </w:r>
      <w:proofErr w:type="gramEnd"/>
      <w:r w:rsidRPr="00794A30">
        <w:rPr>
          <w:rFonts w:asciiTheme="majorHAnsi" w:hAnsiTheme="majorHAnsi"/>
          <w:sz w:val="24"/>
          <w:szCs w:val="24"/>
          <w:lang w:val="en-GB"/>
        </w:rPr>
        <w:t xml:space="preserve"> 22-06-2007</w:t>
      </w:r>
    </w:p>
    <w:p w14:paraId="6F091353" w14:textId="11C28A72" w:rsidR="00794A30" w:rsidRDefault="00DC0774" w:rsidP="00DC0774">
      <w:pPr>
        <w:spacing w:after="60" w:line="360" w:lineRule="auto"/>
        <w:jc w:val="both"/>
        <w:rPr>
          <w:rFonts w:asciiTheme="majorHAnsi" w:hAnsiTheme="majorHAnsi"/>
        </w:rPr>
      </w:pPr>
      <w:r>
        <w:rPr>
          <w:rFonts w:asciiTheme="majorHAnsi" w:hAnsiTheme="majorHAnsi"/>
        </w:rPr>
        <w:t>Como puede verse en la Figura 2 la evolución en la pérdida de buques ha sido positiva en los últimos treinta años.</w:t>
      </w:r>
    </w:p>
    <w:p w14:paraId="5DE8C32E" w14:textId="77777777" w:rsidR="00DC0774" w:rsidRDefault="00DC0774" w:rsidP="00DC0774">
      <w:pPr>
        <w:jc w:val="center"/>
        <w:rPr>
          <w:rFonts w:asciiTheme="majorHAnsi" w:hAnsiTheme="majorHAnsi"/>
        </w:rPr>
      </w:pPr>
    </w:p>
    <w:p w14:paraId="4594A18A" w14:textId="77777777" w:rsidR="00DC0774" w:rsidRDefault="00DC0774" w:rsidP="00DC0774">
      <w:pPr>
        <w:jc w:val="center"/>
        <w:rPr>
          <w:rFonts w:asciiTheme="majorHAnsi" w:hAnsiTheme="majorHAnsi"/>
        </w:rPr>
      </w:pPr>
      <w:r w:rsidRPr="00DC0774">
        <w:rPr>
          <w:rFonts w:asciiTheme="majorHAnsi" w:hAnsiTheme="majorHAnsi"/>
          <w:noProof/>
          <w:lang w:val="es-ES"/>
        </w:rPr>
        <w:drawing>
          <wp:inline distT="0" distB="0" distL="0" distR="0" wp14:anchorId="35D36FDF" wp14:editId="503CECB5">
            <wp:extent cx="5527538" cy="3371215"/>
            <wp:effectExtent l="0" t="0" r="10160" b="6985"/>
            <wp:docPr id="6"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13ECADF" w14:textId="7D65A06B" w:rsidR="00DC0774" w:rsidRPr="003E36D6" w:rsidRDefault="003E36D6" w:rsidP="003E36D6">
      <w:pPr>
        <w:jc w:val="center"/>
        <w:rPr>
          <w:rFonts w:asciiTheme="majorHAnsi" w:hAnsiTheme="majorHAnsi"/>
          <w:b/>
        </w:rPr>
      </w:pPr>
      <w:r w:rsidRPr="00DC0774">
        <w:rPr>
          <w:rFonts w:asciiTheme="majorHAnsi" w:hAnsiTheme="majorHAnsi"/>
          <w:b/>
        </w:rPr>
        <w:t>Figura 2</w:t>
      </w:r>
      <w:r>
        <w:rPr>
          <w:rFonts w:asciiTheme="majorHAnsi" w:hAnsiTheme="majorHAnsi"/>
          <w:b/>
        </w:rPr>
        <w:t xml:space="preserve">. </w:t>
      </w:r>
      <w:r>
        <w:rPr>
          <w:rFonts w:asciiTheme="majorHAnsi" w:hAnsiTheme="majorHAnsi"/>
        </w:rPr>
        <w:t>Evolución de las pérdidas de buques (1973-2003)</w:t>
      </w:r>
    </w:p>
    <w:p w14:paraId="7205FF33" w14:textId="73D7C203" w:rsidR="00DC0774" w:rsidRDefault="00DC0774" w:rsidP="00DC0774">
      <w:pPr>
        <w:jc w:val="center"/>
        <w:rPr>
          <w:rFonts w:asciiTheme="majorHAnsi" w:hAnsiTheme="majorHAnsi"/>
        </w:rPr>
      </w:pPr>
      <w:r>
        <w:rPr>
          <w:rFonts w:asciiTheme="majorHAnsi" w:hAnsiTheme="majorHAnsi"/>
        </w:rPr>
        <w:t>Fuente: Elaboración propia a partir de Kevin (2008).</w:t>
      </w:r>
    </w:p>
    <w:p w14:paraId="6B1C4016" w14:textId="77777777" w:rsidR="00DC0774" w:rsidRDefault="00DC0774" w:rsidP="00DC0774">
      <w:pPr>
        <w:jc w:val="center"/>
        <w:rPr>
          <w:rFonts w:asciiTheme="majorHAnsi" w:hAnsiTheme="majorHAnsi"/>
        </w:rPr>
      </w:pPr>
    </w:p>
    <w:p w14:paraId="465CF538" w14:textId="77777777" w:rsidR="00DC0774" w:rsidRDefault="00DC0774" w:rsidP="00DC0774">
      <w:pPr>
        <w:spacing w:after="60" w:line="360" w:lineRule="auto"/>
        <w:jc w:val="both"/>
        <w:rPr>
          <w:rFonts w:asciiTheme="majorHAnsi" w:hAnsiTheme="majorHAnsi"/>
        </w:rPr>
      </w:pPr>
    </w:p>
    <w:p w14:paraId="3B6BCF3D" w14:textId="10A7D5D2" w:rsidR="00DC0774" w:rsidRPr="00B26D61" w:rsidRDefault="00DC0774" w:rsidP="00DC0774">
      <w:pPr>
        <w:spacing w:after="60" w:line="360" w:lineRule="auto"/>
        <w:jc w:val="both"/>
        <w:rPr>
          <w:rFonts w:asciiTheme="majorHAnsi" w:hAnsiTheme="majorHAnsi"/>
        </w:rPr>
      </w:pPr>
      <w:r w:rsidRPr="00DC0774">
        <w:rPr>
          <w:rFonts w:asciiTheme="majorHAnsi" w:hAnsiTheme="majorHAnsi"/>
        </w:rPr>
        <w:t xml:space="preserve">En el mismo </w:t>
      </w:r>
      <w:proofErr w:type="spellStart"/>
      <w:r w:rsidRPr="00DC0774">
        <w:rPr>
          <w:rFonts w:asciiTheme="majorHAnsi" w:hAnsiTheme="majorHAnsi"/>
        </w:rPr>
        <w:t>Memorandum</w:t>
      </w:r>
      <w:proofErr w:type="spellEnd"/>
      <w:r w:rsidRPr="00DC0774">
        <w:rPr>
          <w:rFonts w:asciiTheme="majorHAnsi" w:hAnsiTheme="majorHAnsi"/>
        </w:rPr>
        <w:t xml:space="preserve"> se distinguen dos grupos de estándares, dependiendo del tipo de violaciones o deficiencias que pueden ocasionar un retraso o detención del buque; específicamente estas violaciones a los convenios son sobre edad mínima, exámenes médicos, prevención de accidentes, condiciones de la habilitación de la dotación, alimentación y certificados de competencia de los tripulantes. De esta forma, el PSC no se responsabiliza de aquellas condiciones que pueden definirse como de "economía interna del buque", cuya supervisión deja en manos del Estado de bandera, siempre que no alteren la paz, tranquilidad o "dignidad" del puerto de atraque. No obstante, el inspector podrá comprobar las condiciones sociales y de trabajo a bordo de los buques pero, a efectos prácticos, solo ante una posible not</w:t>
      </w:r>
      <w:r>
        <w:rPr>
          <w:rFonts w:asciiTheme="majorHAnsi" w:hAnsiTheme="majorHAnsi"/>
        </w:rPr>
        <w:t>ificación al Estado de bandera (</w:t>
      </w:r>
      <w:proofErr w:type="spellStart"/>
      <w:r>
        <w:rPr>
          <w:rFonts w:asciiTheme="majorHAnsi" w:hAnsiTheme="majorHAnsi"/>
        </w:rPr>
        <w:t>Payoyo</w:t>
      </w:r>
      <w:proofErr w:type="spellEnd"/>
      <w:r>
        <w:rPr>
          <w:rFonts w:asciiTheme="majorHAnsi" w:hAnsiTheme="majorHAnsi"/>
        </w:rPr>
        <w:t xml:space="preserve"> 1994)</w:t>
      </w:r>
      <w:r w:rsidRPr="00DC0774">
        <w:rPr>
          <w:rFonts w:asciiTheme="majorHAnsi" w:hAnsiTheme="majorHAnsi"/>
        </w:rPr>
        <w:t>.</w:t>
      </w:r>
    </w:p>
    <w:sectPr w:rsidR="00DC0774" w:rsidRPr="00B26D61" w:rsidSect="00DC0774">
      <w:headerReference w:type="default" r:id="rId9"/>
      <w:footerReference w:type="default" r:id="rId10"/>
      <w:pgSz w:w="11900" w:h="16840"/>
      <w:pgMar w:top="1418" w:right="1701" w:bottom="1418" w:left="1701"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888C3" w14:textId="77777777" w:rsidR="00794A30" w:rsidRDefault="00794A30" w:rsidP="003B4D99">
      <w:r>
        <w:separator/>
      </w:r>
    </w:p>
  </w:endnote>
  <w:endnote w:type="continuationSeparator" w:id="0">
    <w:p w14:paraId="4E770365" w14:textId="77777777" w:rsidR="00794A30" w:rsidRDefault="00794A30" w:rsidP="003B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C1F5D" w14:textId="77777777" w:rsidR="00794A30" w:rsidRPr="003B4D99" w:rsidRDefault="00794A30" w:rsidP="003B4D99">
    <w:pPr>
      <w:pStyle w:val="Piedepgina"/>
      <w:framePr w:wrap="around" w:vAnchor="text" w:hAnchor="page" w:x="5842" w:y="1"/>
      <w:rPr>
        <w:rStyle w:val="Nmerodepgina"/>
        <w:rFonts w:asciiTheme="majorHAnsi" w:hAnsiTheme="majorHAnsi"/>
      </w:rPr>
    </w:pPr>
    <w:r w:rsidRPr="003B4D99">
      <w:rPr>
        <w:rStyle w:val="Nmerodepgina"/>
        <w:rFonts w:asciiTheme="majorHAnsi" w:hAnsiTheme="majorHAnsi"/>
      </w:rPr>
      <w:fldChar w:fldCharType="begin"/>
    </w:r>
    <w:r w:rsidRPr="003B4D99">
      <w:rPr>
        <w:rStyle w:val="Nmerodepgina"/>
        <w:rFonts w:asciiTheme="majorHAnsi" w:hAnsiTheme="majorHAnsi"/>
      </w:rPr>
      <w:instrText xml:space="preserve">PAGE  </w:instrText>
    </w:r>
    <w:r w:rsidRPr="003B4D99">
      <w:rPr>
        <w:rStyle w:val="Nmerodepgina"/>
        <w:rFonts w:asciiTheme="majorHAnsi" w:hAnsiTheme="majorHAnsi"/>
      </w:rPr>
      <w:fldChar w:fldCharType="separate"/>
    </w:r>
    <w:r w:rsidR="00C7089B">
      <w:rPr>
        <w:rStyle w:val="Nmerodepgina"/>
        <w:rFonts w:asciiTheme="majorHAnsi" w:hAnsiTheme="majorHAnsi"/>
        <w:noProof/>
      </w:rPr>
      <w:t>5</w:t>
    </w:r>
    <w:r w:rsidRPr="003B4D99">
      <w:rPr>
        <w:rStyle w:val="Nmerodepgina"/>
        <w:rFonts w:asciiTheme="majorHAnsi" w:hAnsiTheme="majorHAnsi"/>
      </w:rPr>
      <w:fldChar w:fldCharType="end"/>
    </w:r>
  </w:p>
  <w:p w14:paraId="1BA4B5CB" w14:textId="77777777" w:rsidR="00794A30" w:rsidRDefault="00794A3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C78B9" w14:textId="77777777" w:rsidR="00794A30" w:rsidRDefault="00794A30" w:rsidP="003B4D99">
      <w:r>
        <w:separator/>
      </w:r>
    </w:p>
  </w:footnote>
  <w:footnote w:type="continuationSeparator" w:id="0">
    <w:p w14:paraId="5CB2634B" w14:textId="77777777" w:rsidR="00794A30" w:rsidRDefault="00794A30" w:rsidP="003B4D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18AE4" w14:textId="57030C93" w:rsidR="00DC0774" w:rsidRPr="00DC0774" w:rsidRDefault="00DC0774">
    <w:pPr>
      <w:pStyle w:val="Encabezado"/>
      <w:rPr>
        <w:rFonts w:asciiTheme="majorHAnsi" w:hAnsiTheme="majorHAnsi"/>
        <w:sz w:val="18"/>
        <w:szCs w:val="18"/>
      </w:rPr>
    </w:pPr>
    <w:r w:rsidRPr="00DC0774">
      <w:rPr>
        <w:rFonts w:asciiTheme="majorHAnsi" w:hAnsiTheme="majorHAnsi"/>
        <w:sz w:val="18"/>
        <w:szCs w:val="18"/>
      </w:rPr>
      <w:t xml:space="preserve">La implementación de una nueva Política en el Trabajo Marítimo… </w:t>
    </w:r>
    <w:r w:rsidRPr="00DC0774">
      <w:rPr>
        <w:rFonts w:asciiTheme="majorHAnsi" w:hAnsiTheme="majorHAnsi"/>
        <w:sz w:val="18"/>
        <w:szCs w:val="18"/>
      </w:rPr>
      <w:tab/>
      <w:t xml:space="preserve">José Pérez </w:t>
    </w:r>
    <w:proofErr w:type="spellStart"/>
    <w:r w:rsidRPr="00DC0774">
      <w:rPr>
        <w:rFonts w:asciiTheme="majorHAnsi" w:hAnsiTheme="majorHAnsi"/>
        <w:sz w:val="18"/>
        <w:szCs w:val="18"/>
      </w:rPr>
      <w:t>Pérez</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40"/>
  <w:proofState w:spelling="clean" w:grammar="clean"/>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61"/>
    <w:rsid w:val="003B4D99"/>
    <w:rsid w:val="003E36D6"/>
    <w:rsid w:val="004547FB"/>
    <w:rsid w:val="00512FD2"/>
    <w:rsid w:val="00794A30"/>
    <w:rsid w:val="00B26D61"/>
    <w:rsid w:val="00BD056D"/>
    <w:rsid w:val="00BD126E"/>
    <w:rsid w:val="00C7089B"/>
    <w:rsid w:val="00DC077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D49E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6D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26D61"/>
    <w:rPr>
      <w:rFonts w:ascii="Lucida Grande" w:hAnsi="Lucida Grande" w:cs="Lucida Grande"/>
      <w:sz w:val="18"/>
      <w:szCs w:val="18"/>
    </w:rPr>
  </w:style>
  <w:style w:type="paragraph" w:styleId="Encabezado">
    <w:name w:val="header"/>
    <w:basedOn w:val="Normal"/>
    <w:link w:val="EncabezadoCar"/>
    <w:uiPriority w:val="99"/>
    <w:unhideWhenUsed/>
    <w:rsid w:val="003B4D99"/>
    <w:pPr>
      <w:tabs>
        <w:tab w:val="center" w:pos="4252"/>
        <w:tab w:val="right" w:pos="8504"/>
      </w:tabs>
    </w:pPr>
  </w:style>
  <w:style w:type="character" w:customStyle="1" w:styleId="EncabezadoCar">
    <w:name w:val="Encabezado Car"/>
    <w:basedOn w:val="Fuentedeprrafopredeter"/>
    <w:link w:val="Encabezado"/>
    <w:uiPriority w:val="99"/>
    <w:rsid w:val="003B4D99"/>
  </w:style>
  <w:style w:type="table" w:styleId="Tablaconcuadrcula">
    <w:name w:val="Table Grid"/>
    <w:basedOn w:val="Tablanormal"/>
    <w:uiPriority w:val="59"/>
    <w:rsid w:val="003B4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3B4D99"/>
    <w:pPr>
      <w:tabs>
        <w:tab w:val="center" w:pos="4252"/>
        <w:tab w:val="right" w:pos="8504"/>
      </w:tabs>
    </w:pPr>
  </w:style>
  <w:style w:type="character" w:customStyle="1" w:styleId="PiedepginaCar">
    <w:name w:val="Pie de página Car"/>
    <w:basedOn w:val="Fuentedeprrafopredeter"/>
    <w:link w:val="Piedepgina"/>
    <w:uiPriority w:val="99"/>
    <w:rsid w:val="003B4D99"/>
  </w:style>
  <w:style w:type="character" w:styleId="Nmerodepgina">
    <w:name w:val="page number"/>
    <w:basedOn w:val="Fuentedeprrafopredeter"/>
    <w:uiPriority w:val="99"/>
    <w:semiHidden/>
    <w:unhideWhenUsed/>
    <w:rsid w:val="003B4D99"/>
  </w:style>
  <w:style w:type="paragraph" w:customStyle="1" w:styleId="Referencetext">
    <w:name w:val="Reference text"/>
    <w:basedOn w:val="Normal"/>
    <w:rsid w:val="00794A30"/>
    <w:pPr>
      <w:suppressAutoHyphens/>
      <w:overflowPunct w:val="0"/>
      <w:autoSpaceDE w:val="0"/>
      <w:autoSpaceDN w:val="0"/>
      <w:adjustRightInd w:val="0"/>
      <w:spacing w:line="220" w:lineRule="exact"/>
      <w:ind w:left="284" w:hanging="284"/>
      <w:jc w:val="both"/>
      <w:textAlignment w:val="baseline"/>
    </w:pPr>
    <w:rPr>
      <w:rFonts w:ascii="Times New Roman" w:eastAsia="Times New Roman" w:hAnsi="Times New Roman" w:cs="Times New Roman"/>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6D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26D61"/>
    <w:rPr>
      <w:rFonts w:ascii="Lucida Grande" w:hAnsi="Lucida Grande" w:cs="Lucida Grande"/>
      <w:sz w:val="18"/>
      <w:szCs w:val="18"/>
    </w:rPr>
  </w:style>
  <w:style w:type="paragraph" w:styleId="Encabezado">
    <w:name w:val="header"/>
    <w:basedOn w:val="Normal"/>
    <w:link w:val="EncabezadoCar"/>
    <w:uiPriority w:val="99"/>
    <w:unhideWhenUsed/>
    <w:rsid w:val="003B4D99"/>
    <w:pPr>
      <w:tabs>
        <w:tab w:val="center" w:pos="4252"/>
        <w:tab w:val="right" w:pos="8504"/>
      </w:tabs>
    </w:pPr>
  </w:style>
  <w:style w:type="character" w:customStyle="1" w:styleId="EncabezadoCar">
    <w:name w:val="Encabezado Car"/>
    <w:basedOn w:val="Fuentedeprrafopredeter"/>
    <w:link w:val="Encabezado"/>
    <w:uiPriority w:val="99"/>
    <w:rsid w:val="003B4D99"/>
  </w:style>
  <w:style w:type="table" w:styleId="Tablaconcuadrcula">
    <w:name w:val="Table Grid"/>
    <w:basedOn w:val="Tablanormal"/>
    <w:uiPriority w:val="59"/>
    <w:rsid w:val="003B4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3B4D99"/>
    <w:pPr>
      <w:tabs>
        <w:tab w:val="center" w:pos="4252"/>
        <w:tab w:val="right" w:pos="8504"/>
      </w:tabs>
    </w:pPr>
  </w:style>
  <w:style w:type="character" w:customStyle="1" w:styleId="PiedepginaCar">
    <w:name w:val="Pie de página Car"/>
    <w:basedOn w:val="Fuentedeprrafopredeter"/>
    <w:link w:val="Piedepgina"/>
    <w:uiPriority w:val="99"/>
    <w:rsid w:val="003B4D99"/>
  </w:style>
  <w:style w:type="character" w:styleId="Nmerodepgina">
    <w:name w:val="page number"/>
    <w:basedOn w:val="Fuentedeprrafopredeter"/>
    <w:uiPriority w:val="99"/>
    <w:semiHidden/>
    <w:unhideWhenUsed/>
    <w:rsid w:val="003B4D99"/>
  </w:style>
  <w:style w:type="paragraph" w:customStyle="1" w:styleId="Referencetext">
    <w:name w:val="Reference text"/>
    <w:basedOn w:val="Normal"/>
    <w:rsid w:val="00794A30"/>
    <w:pPr>
      <w:suppressAutoHyphens/>
      <w:overflowPunct w:val="0"/>
      <w:autoSpaceDE w:val="0"/>
      <w:autoSpaceDN w:val="0"/>
      <w:adjustRightInd w:val="0"/>
      <w:spacing w:line="220" w:lineRule="exact"/>
      <w:ind w:left="284" w:hanging="284"/>
      <w:jc w:val="both"/>
      <w:textAlignment w:val="baseline"/>
    </w:pPr>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chart" Target="charts/chart1.xml"/><Relationship Id="rId9" Type="http://schemas.openxmlformats.org/officeDocument/2006/relationships/header" Target="header1.xm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manualLayout>
          <c:layoutTarget val="inner"/>
          <c:xMode val="edge"/>
          <c:yMode val="edge"/>
          <c:x val="0.166291057434326"/>
          <c:y val="0.0522648083623693"/>
          <c:w val="0.814661234855693"/>
          <c:h val="0.787949701825329"/>
        </c:manualLayout>
      </c:layout>
      <c:lineChart>
        <c:grouping val="standard"/>
        <c:varyColors val="0"/>
        <c:ser>
          <c:idx val="0"/>
          <c:order val="0"/>
          <c:tx>
            <c:v>Buques perdidos</c:v>
          </c:tx>
          <c:marker>
            <c:symbol val="none"/>
          </c:marker>
          <c:cat>
            <c:numRef>
              <c:f>SINIESTRALIDAD!$A$4:$A$34</c:f>
              <c:numCache>
                <c:formatCode>0</c:formatCode>
                <c:ptCount val="31"/>
                <c:pt idx="0">
                  <c:v>1973.0</c:v>
                </c:pt>
                <c:pt idx="1">
                  <c:v>1974.0</c:v>
                </c:pt>
                <c:pt idx="2">
                  <c:v>1975.0</c:v>
                </c:pt>
                <c:pt idx="3">
                  <c:v>1976.0</c:v>
                </c:pt>
                <c:pt idx="4">
                  <c:v>1977.0</c:v>
                </c:pt>
                <c:pt idx="5">
                  <c:v>1978.0</c:v>
                </c:pt>
                <c:pt idx="6">
                  <c:v>1979.0</c:v>
                </c:pt>
                <c:pt idx="7">
                  <c:v>1980.0</c:v>
                </c:pt>
                <c:pt idx="8">
                  <c:v>1981.0</c:v>
                </c:pt>
                <c:pt idx="9">
                  <c:v>1982.0</c:v>
                </c:pt>
                <c:pt idx="10">
                  <c:v>1983.0</c:v>
                </c:pt>
                <c:pt idx="11">
                  <c:v>1984.0</c:v>
                </c:pt>
                <c:pt idx="12">
                  <c:v>1985.0</c:v>
                </c:pt>
                <c:pt idx="13">
                  <c:v>1986.0</c:v>
                </c:pt>
                <c:pt idx="14">
                  <c:v>1987.0</c:v>
                </c:pt>
                <c:pt idx="15">
                  <c:v>1988.0</c:v>
                </c:pt>
                <c:pt idx="16">
                  <c:v>1989.0</c:v>
                </c:pt>
                <c:pt idx="17">
                  <c:v>1990.0</c:v>
                </c:pt>
                <c:pt idx="18">
                  <c:v>1991.0</c:v>
                </c:pt>
                <c:pt idx="19">
                  <c:v>1992.0</c:v>
                </c:pt>
                <c:pt idx="20">
                  <c:v>1993.0</c:v>
                </c:pt>
                <c:pt idx="21">
                  <c:v>1994.0</c:v>
                </c:pt>
                <c:pt idx="22">
                  <c:v>1995.0</c:v>
                </c:pt>
                <c:pt idx="23">
                  <c:v>1996.0</c:v>
                </c:pt>
                <c:pt idx="24">
                  <c:v>1997.0</c:v>
                </c:pt>
                <c:pt idx="25">
                  <c:v>1998.0</c:v>
                </c:pt>
                <c:pt idx="26">
                  <c:v>1999.0</c:v>
                </c:pt>
                <c:pt idx="27">
                  <c:v>2000.0</c:v>
                </c:pt>
                <c:pt idx="28">
                  <c:v>2001.0</c:v>
                </c:pt>
                <c:pt idx="29">
                  <c:v>2002.0</c:v>
                </c:pt>
                <c:pt idx="30">
                  <c:v>2003.0</c:v>
                </c:pt>
              </c:numCache>
            </c:numRef>
          </c:cat>
          <c:val>
            <c:numRef>
              <c:f>SINIESTRALIDAD!$B$4:$B$34</c:f>
              <c:numCache>
                <c:formatCode>0</c:formatCode>
                <c:ptCount val="31"/>
                <c:pt idx="0">
                  <c:v>378.0</c:v>
                </c:pt>
                <c:pt idx="1">
                  <c:v>270.0</c:v>
                </c:pt>
                <c:pt idx="2">
                  <c:v>330.0</c:v>
                </c:pt>
                <c:pt idx="3">
                  <c:v>390.0</c:v>
                </c:pt>
                <c:pt idx="4">
                  <c:v>375.0</c:v>
                </c:pt>
                <c:pt idx="5">
                  <c:v>473.0</c:v>
                </c:pt>
                <c:pt idx="6">
                  <c:v>465.0</c:v>
                </c:pt>
                <c:pt idx="7">
                  <c:v>380.0</c:v>
                </c:pt>
                <c:pt idx="8">
                  <c:v>360.0</c:v>
                </c:pt>
                <c:pt idx="9">
                  <c:v>402.0</c:v>
                </c:pt>
                <c:pt idx="10">
                  <c:v>340.0</c:v>
                </c:pt>
                <c:pt idx="11">
                  <c:v>328.0</c:v>
                </c:pt>
                <c:pt idx="12">
                  <c:v>312.0</c:v>
                </c:pt>
                <c:pt idx="13">
                  <c:v>270.0</c:v>
                </c:pt>
                <c:pt idx="14">
                  <c:v>218.0</c:v>
                </c:pt>
                <c:pt idx="15">
                  <c:v>230.0</c:v>
                </c:pt>
                <c:pt idx="16">
                  <c:v>241.0</c:v>
                </c:pt>
                <c:pt idx="17">
                  <c:v>238.0</c:v>
                </c:pt>
                <c:pt idx="18">
                  <c:v>310.0</c:v>
                </c:pt>
                <c:pt idx="19">
                  <c:v>260.0</c:v>
                </c:pt>
                <c:pt idx="20">
                  <c:v>250.0</c:v>
                </c:pt>
                <c:pt idx="21">
                  <c:v>190.0</c:v>
                </c:pt>
                <c:pt idx="22">
                  <c:v>200.0</c:v>
                </c:pt>
                <c:pt idx="23">
                  <c:v>175.0</c:v>
                </c:pt>
                <c:pt idx="24">
                  <c:v>125.0</c:v>
                </c:pt>
                <c:pt idx="25">
                  <c:v>175.0</c:v>
                </c:pt>
                <c:pt idx="26">
                  <c:v>124.0</c:v>
                </c:pt>
                <c:pt idx="27">
                  <c:v>174.0</c:v>
                </c:pt>
                <c:pt idx="28">
                  <c:v>160.0</c:v>
                </c:pt>
                <c:pt idx="29">
                  <c:v>153.0</c:v>
                </c:pt>
                <c:pt idx="30">
                  <c:v>144.0</c:v>
                </c:pt>
              </c:numCache>
            </c:numRef>
          </c:val>
          <c:smooth val="1"/>
        </c:ser>
        <c:dLbls>
          <c:showLegendKey val="0"/>
          <c:showVal val="0"/>
          <c:showCatName val="0"/>
          <c:showSerName val="0"/>
          <c:showPercent val="0"/>
          <c:showBubbleSize val="0"/>
        </c:dLbls>
        <c:marker val="1"/>
        <c:smooth val="0"/>
        <c:axId val="-2128005000"/>
        <c:axId val="2139472856"/>
      </c:lineChart>
      <c:catAx>
        <c:axId val="-2128005000"/>
        <c:scaling>
          <c:orientation val="minMax"/>
        </c:scaling>
        <c:delete val="0"/>
        <c:axPos val="b"/>
        <c:numFmt formatCode="0" sourceLinked="1"/>
        <c:majorTickMark val="out"/>
        <c:minorTickMark val="out"/>
        <c:tickLblPos val="nextTo"/>
        <c:txPr>
          <a:bodyPr rot="-5400000" vert="horz"/>
          <a:lstStyle/>
          <a:p>
            <a:pPr>
              <a:defRPr/>
            </a:pPr>
            <a:endParaRPr lang="es-ES"/>
          </a:p>
        </c:txPr>
        <c:crossAx val="2139472856"/>
        <c:crosses val="autoZero"/>
        <c:auto val="1"/>
        <c:lblAlgn val="ctr"/>
        <c:lblOffset val="100"/>
        <c:tickLblSkip val="1"/>
        <c:tickMarkSkip val="1"/>
        <c:noMultiLvlLbl val="0"/>
      </c:catAx>
      <c:valAx>
        <c:axId val="2139472856"/>
        <c:scaling>
          <c:orientation val="minMax"/>
        </c:scaling>
        <c:delete val="0"/>
        <c:axPos val="l"/>
        <c:title>
          <c:tx>
            <c:rich>
              <a:bodyPr/>
              <a:lstStyle/>
              <a:p>
                <a:pPr>
                  <a:defRPr/>
                </a:pPr>
                <a:r>
                  <a:rPr lang="es-ES_tradnl"/>
                  <a:t>Número de barcos</a:t>
                </a:r>
              </a:p>
            </c:rich>
          </c:tx>
          <c:layout>
            <c:manualLayout>
              <c:xMode val="edge"/>
              <c:yMode val="edge"/>
              <c:x val="0.0450854835386769"/>
              <c:y val="0.166861822771431"/>
            </c:manualLayout>
          </c:layout>
          <c:overlay val="0"/>
        </c:title>
        <c:numFmt formatCode="0" sourceLinked="1"/>
        <c:majorTickMark val="out"/>
        <c:minorTickMark val="none"/>
        <c:tickLblPos val="nextTo"/>
        <c:txPr>
          <a:bodyPr rot="0" vert="horz"/>
          <a:lstStyle/>
          <a:p>
            <a:pPr>
              <a:defRPr/>
            </a:pPr>
            <a:endParaRPr lang="es-ES"/>
          </a:p>
        </c:txPr>
        <c:crossAx val="-2128005000"/>
        <c:crosses val="autoZero"/>
        <c:crossBetween val="between"/>
      </c:valAx>
    </c:plotArea>
    <c:plotVisOnly val="1"/>
    <c:dispBlanksAs val="gap"/>
    <c:showDLblsOverMax val="0"/>
  </c:chart>
  <c:spPr>
    <a:ln>
      <a:noFill/>
    </a:ln>
  </c:spPr>
  <c:txPr>
    <a:bodyPr/>
    <a:lstStyle/>
    <a:p>
      <a:pPr>
        <a:defRPr>
          <a:latin typeface="+mj-lt"/>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759</Words>
  <Characters>4176</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3</cp:revision>
  <cp:lastPrinted>2015-03-05T07:57:00Z</cp:lastPrinted>
  <dcterms:created xsi:type="dcterms:W3CDTF">2015-03-05T07:57:00Z</dcterms:created>
  <dcterms:modified xsi:type="dcterms:W3CDTF">2015-03-05T07:57:00Z</dcterms:modified>
</cp:coreProperties>
</file>